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630"/>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pStyle w:val="639"/>
        <w:ind w:left="0" w:firstLine="0"/>
        <w:rPr>
          <w:rFonts w:hint="eastAsia"/>
        </w:rPr>
      </w:pPr>
      <w:r>
        <w:rPr>
          <w:rFonts w:hint="eastAsia"/>
        </w:rPr>
      </w:r>
      <w:r/>
    </w:p>
    <w:p>
      <w:pPr>
        <w:pStyle w:val="630"/>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628"/>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628"/>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JSZC-320206-SMDG-G2025-0199</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无锡市惠山区人民医院超声机(心脏)</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634"/>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五</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十一</w:t>
      </w:r>
      <w:r>
        <w:rPr>
          <w:rFonts w:hint="eastAsia" w:ascii="宋体" w:hAnsi="宋体" w:cs="宋体"/>
          <w:b/>
          <w:sz w:val="30"/>
          <w:szCs w:val="30"/>
        </w:rPr>
        <w:t xml:space="preserve">月</w:t>
      </w:r>
      <w:r/>
    </w:p>
    <w:p>
      <w:pPr>
        <w:rPr>
          <w:b/>
          <w:sz w:val="28"/>
          <w:szCs w:val="28"/>
        </w:rPr>
      </w:pPr>
      <w:r>
        <w:rPr>
          <w:b/>
          <w:sz w:val="28"/>
          <w:szCs w:val="28"/>
        </w:rPr>
      </w:r>
      <w:r/>
    </w:p>
    <w:p>
      <w:pPr>
        <w:rPr>
          <w:b/>
          <w:sz w:val="28"/>
          <w:szCs w:val="28"/>
        </w:rPr>
      </w:pPr>
      <w:r>
        <w:rPr>
          <w:b/>
          <w:sz w:val="28"/>
          <w:szCs w:val="28"/>
        </w:rPr>
        <w:br w:type="page" w:clear="all"/>
      </w:r>
      <w:r/>
    </w:p>
    <w:p>
      <w:pPr>
        <w:pStyle w:val="641"/>
        <w:jc w:val="center"/>
        <w:spacing w:before="0" w:beforeAutospacing="0" w:after="0" w:afterAutospacing="0" w:line="560" w:lineRule="exact"/>
        <w:shd w:val="clear" w:color="auto" w:fill="ffffff"/>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 xml:space="preserve">政府采购提醒函</w:t>
      </w:r>
      <w:r/>
    </w:p>
    <w:p>
      <w:pPr>
        <w:pStyle w:val="641"/>
        <w:spacing w:before="0" w:beforeAutospacing="0" w:after="0" w:afterAutospacing="0" w:line="560" w:lineRule="exact"/>
        <w:shd w:val="clear" w:color="auto" w:fill="ffff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 xml:space="preserve">各投标供应商：</w:t>
      </w:r>
      <w:r/>
    </w:p>
    <w:p>
      <w:pPr>
        <w:pStyle w:val="630"/>
        <w:ind w:firstLine="560"/>
        <w:spacing w:line="560" w:lineRule="exact"/>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630"/>
        <w:ind w:firstLine="560"/>
        <w:spacing w:line="560" w:lineRule="exact"/>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一、串标情形</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1. 《中华人民共和国政府采购法实施条例》第七十四条</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（一）供应商直接或者间接从采购人或者采购代理机构处获得其他供应商的相关情况并修改其投标文件或者响应文件。</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（二）供应商按照采购人或者采购代理机构的授意撤换、修改投标文件或者响应文件。</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（三）供应商之间协商报价、技术方案等投标文件或者响应文件的实质性内容。</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（四）属于同一集团、协会、商会等组织成员的供应商按照该组织要求协同参加政府采购活动。</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（五）供应商之间事先约定由某一特定供应商中标、成交。</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（六）供应商之间商定部分供应商放弃参加政府采购活动或者放弃中标、成交。</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（七）供应商与采购人或者采购代理机构之间、供应商相互之间，为谋求特定供应商中标、成交或者排斥其他供应商的其他串通行为。</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2. 《货物和服务招标投标管理办法》（财政部87号令）第三十七条</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有下列情形之一的，视为投标人串通投标，其投标无效：</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（一）不同投标人的投标文件由同一单位或者个人编制。</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（二）不同投标人委托同一单位或者个人办理投标事宜。</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（三）不同投标人的投标文件载明的项目管理成员或者联系人员为同一人。</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（四）不同投标人的投标文件异常一致或者投标报价呈规律性差异。</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（五）不同投标人的投标文件相互混装。</w:t>
      </w:r>
      <w:r/>
    </w:p>
    <w:p>
      <w:pPr>
        <w:pStyle w:val="641"/>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（六）不同投标人的投标保证金从同一单位或者个人的账户转出。</w:t>
      </w:r>
      <w:r/>
    </w:p>
    <w:p>
      <w:pPr>
        <w:pStyle w:val="630"/>
        <w:ind w:firstLine="560"/>
        <w:spacing w:line="560" w:lineRule="exact"/>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 xml:space="preserve">二、后果 </w:t>
      </w:r>
      <w:r/>
    </w:p>
    <w:p>
      <w:pPr>
        <w:pStyle w:val="630"/>
        <w:ind w:firstLine="5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641"/>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641"/>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rPr>
        <w:t xml:space="preserve">感谢您对无锡市</w:t>
      </w:r>
      <w:r>
        <w:rPr>
          <w:rFonts w:hint="eastAsia" w:ascii="宋体" w:hAnsi="宋体" w:eastAsia="宋体" w:cs="宋体"/>
          <w:b/>
          <w:bCs/>
          <w:color w:val="000000"/>
          <w:sz w:val="24"/>
          <w:szCs w:val="24"/>
          <w:highlight w:val="white"/>
          <w:shd w:val="clear" w:color="auto" w:fill="ffffff"/>
          <w:lang w:val="en-US" w:eastAsia="zh-CN"/>
        </w:rPr>
        <w:t xml:space="preserve">惠山区人民医院</w:t>
      </w:r>
      <w:r>
        <w:rPr>
          <w:rFonts w:hint="eastAsia" w:ascii="宋体" w:hAnsi="宋体" w:eastAsia="宋体" w:cs="宋体"/>
          <w:b/>
          <w:bCs/>
          <w:color w:val="000000"/>
          <w:sz w:val="24"/>
          <w:szCs w:val="24"/>
          <w:highlight w:val="white"/>
          <w:shd w:val="clear" w:color="auto" w:fill="ffffff"/>
        </w:rPr>
        <w:t xml:space="preserve">工作的关心和支持！</w:t>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634"/>
        <w:ind w:left="1260"/>
      </w:pPr>
      <w:r/>
      <w:r/>
    </w:p>
    <w:p>
      <w:pPr>
        <w:rPr>
          <w:rFonts w:hint="eastAsia"/>
        </w:rPr>
      </w:pPr>
      <w:r>
        <w:rPr>
          <w:rFonts w:hint="eastAsia"/>
        </w:rPr>
      </w:r>
      <w:r/>
    </w:p>
    <w:p>
      <w:r/>
      <w:r/>
    </w:p>
    <w:p>
      <w:pPr>
        <w:pStyle w:val="635"/>
        <w:jc w:val="both"/>
        <w:rPr>
          <w:b/>
          <w:bCs/>
          <w:sz w:val="52"/>
          <w:szCs w:val="52"/>
        </w:rPr>
      </w:pPr>
      <w:r>
        <w:rPr>
          <w:b/>
          <w:bCs/>
          <w:sz w:val="52"/>
          <w:szCs w:val="52"/>
        </w:rPr>
      </w:r>
      <w:r/>
    </w:p>
    <w:p>
      <w:pPr>
        <w:pStyle w:val="635"/>
        <w:jc w:val="center"/>
        <w:rPr>
          <w:b/>
          <w:bCs/>
          <w:sz w:val="52"/>
          <w:szCs w:val="52"/>
        </w:rPr>
      </w:pPr>
      <w:r>
        <w:rPr>
          <w:b/>
          <w:bCs/>
          <w:sz w:val="52"/>
          <w:szCs w:val="52"/>
        </w:rPr>
        <w:t xml:space="preserve">目    录</w:t>
      </w:r>
      <w:r/>
    </w:p>
    <w:p>
      <w:pPr>
        <w:pStyle w:val="638"/>
        <w:rPr>
          <w:rFonts w:hint="eastAsia"/>
        </w:rPr>
      </w:pPr>
      <w:r>
        <w:rPr>
          <w:rFonts w:hint="eastAsia"/>
        </w:rPr>
      </w:r>
      <w:r/>
    </w:p>
    <w:p>
      <w:pPr>
        <w:rPr>
          <w:rFonts w:hint="eastAsia"/>
        </w:rPr>
      </w:pPr>
      <w:r>
        <w:rPr>
          <w:rFonts w:hint="eastAsia"/>
        </w:rPr>
      </w:r>
      <w:r/>
    </w:p>
    <w:p>
      <w:pPr>
        <w:pStyle w:val="630"/>
        <w:rPr>
          <w:rFonts w:hint="eastAsia"/>
        </w:rPr>
      </w:pPr>
      <w:r>
        <w:rPr>
          <w:rFonts w:hint="eastAsia"/>
        </w:rPr>
      </w:r>
      <w:r/>
    </w:p>
    <w:p>
      <w:pPr>
        <w:pStyle w:val="640"/>
        <w:ind w:left="0" w:firstLine="723"/>
        <w:jc w:val="both"/>
        <w:spacing w:line="360" w:lineRule="auto"/>
        <w:rPr>
          <w:rStyle w:val="646"/>
          <w:rFonts w:hint="eastAsia" w:ascii="宋体" w:hAnsi="宋体" w:eastAsia="宋体" w:cs="宋体"/>
          <w:b/>
          <w:sz w:val="24"/>
        </w:rPr>
      </w:pPr>
      <w:r>
        <w:rPr>
          <w:rFonts w:hint="eastAsia" w:ascii="宋体" w:hAnsi="宋体" w:eastAsia="宋体" w:cs="宋体"/>
          <w:b/>
          <w:sz w:val="24"/>
        </w:rPr>
      </w:r>
      <w:r/>
    </w:p>
    <w:p>
      <w:pPr>
        <w:pStyle w:val="640"/>
        <w:ind w:left="0" w:right="0" w:firstLine="723"/>
        <w:jc w:val="both"/>
        <w:keepLines w:val="0"/>
        <w:keepNext w:val="0"/>
        <w:pageBreakBefore w:val="0"/>
        <w:spacing w:line="480" w:lineRule="auto"/>
        <w:widowControl w:val="off"/>
        <w:rPr>
          <w:rStyle w:val="646"/>
          <w:rFonts w:hint="eastAsia" w:ascii="宋体" w:hAnsi="宋体" w:eastAsia="宋体" w:cs="宋体"/>
          <w:b/>
          <w:sz w:val="24"/>
        </w:rPr>
        <w:outlineLvl w:val="9"/>
      </w:pPr>
      <w:r>
        <w:rPr>
          <w:rFonts w:hint="eastAsia" w:ascii="宋体" w:hAnsi="宋体" w:eastAsia="宋体" w:cs="宋体"/>
          <w:b/>
          <w:sz w:val="24"/>
        </w:rPr>
      </w:r>
      <w:r/>
    </w:p>
    <w:p>
      <w:pPr>
        <w:pStyle w:val="640"/>
        <w:ind w:left="0" w:right="0" w:firstLine="0"/>
        <w:jc w:val="both"/>
        <w:keepLines w:val="0"/>
        <w:keepNext w:val="0"/>
        <w:pageBreakBefore w:val="0"/>
        <w:spacing w:line="480" w:lineRule="auto"/>
        <w:widowControl w:val="off"/>
        <w:rPr>
          <w:rStyle w:val="646"/>
          <w:rFonts w:hint="eastAsia" w:ascii="宋体" w:hAnsi="宋体" w:eastAsia="宋体" w:cs="宋体"/>
          <w:b/>
          <w:sz w:val="24"/>
        </w:rPr>
        <w:outlineLvl w:val="9"/>
      </w:pPr>
      <w:r>
        <w:rPr>
          <w:rStyle w:val="646"/>
          <w:rFonts w:hint="eastAsia" w:ascii="宋体" w:hAnsi="宋体" w:eastAsia="宋体" w:cs="宋体"/>
          <w:b/>
          <w:sz w:val="24"/>
        </w:rPr>
        <w:t xml:space="preserve">一、投标邀请函 </w:t>
      </w:r>
      <w:r/>
    </w:p>
    <w:p>
      <w:pPr>
        <w:pStyle w:val="640"/>
        <w:ind w:left="0" w:right="0" w:firstLine="0"/>
        <w:jc w:val="both"/>
        <w:keepLines w:val="0"/>
        <w:keepNext w:val="0"/>
        <w:pageBreakBefore w:val="0"/>
        <w:spacing w:line="480" w:lineRule="auto"/>
        <w:widowControl w:val="off"/>
        <w:rPr>
          <w:rStyle w:val="646"/>
          <w:rFonts w:hint="eastAsia" w:ascii="宋体" w:hAnsi="宋体" w:eastAsia="宋体" w:cs="宋体"/>
          <w:b/>
          <w:sz w:val="24"/>
        </w:rPr>
        <w:outlineLvl w:val="9"/>
      </w:pPr>
      <w:r>
        <w:rPr>
          <w:rFonts w:hint="eastAsia" w:ascii="宋体" w:hAnsi="宋体" w:eastAsia="宋体" w:cs="宋体"/>
          <w:b/>
          <w:sz w:val="24"/>
        </w:rPr>
      </w:r>
      <w:r/>
    </w:p>
    <w:p>
      <w:pPr>
        <w:pStyle w:val="640"/>
        <w:ind w:left="0" w:right="0" w:firstLine="0"/>
        <w:jc w:val="both"/>
        <w:keepLines w:val="0"/>
        <w:keepNext w:val="0"/>
        <w:pageBreakBefore w:val="0"/>
        <w:spacing w:line="480" w:lineRule="auto"/>
        <w:widowControl w:val="off"/>
        <w:rPr>
          <w:rStyle w:val="646"/>
          <w:rFonts w:hint="eastAsia" w:ascii="宋体" w:hAnsi="宋体" w:eastAsia="宋体" w:cs="宋体"/>
          <w:b/>
          <w:sz w:val="24"/>
          <w:lang w:eastAsia="zh-CN"/>
        </w:rPr>
        <w:outlineLvl w:val="9"/>
      </w:pPr>
      <w:r>
        <w:rPr>
          <w:rStyle w:val="646"/>
          <w:rFonts w:hint="eastAsia" w:ascii="宋体" w:hAnsi="宋体" w:eastAsia="宋体" w:cs="宋体"/>
          <w:b/>
          <w:sz w:val="24"/>
        </w:rPr>
        <w:t xml:space="preserve">二、投标人须知 </w:t>
      </w:r>
      <w:r/>
    </w:p>
    <w:p>
      <w:pPr>
        <w:pStyle w:val="640"/>
        <w:ind w:left="0" w:right="0" w:firstLine="0"/>
        <w:jc w:val="both"/>
        <w:keepLines w:val="0"/>
        <w:keepNext w:val="0"/>
        <w:pageBreakBefore w:val="0"/>
        <w:spacing w:line="480" w:lineRule="auto"/>
        <w:widowControl w:val="off"/>
        <w:rPr>
          <w:rStyle w:val="646"/>
          <w:rFonts w:hint="eastAsia" w:ascii="宋体" w:hAnsi="宋体" w:eastAsia="宋体" w:cs="宋体"/>
          <w:b/>
          <w:sz w:val="24"/>
        </w:rPr>
        <w:outlineLvl w:val="9"/>
      </w:pPr>
      <w:r>
        <w:rPr>
          <w:rFonts w:hint="eastAsia" w:ascii="宋体" w:hAnsi="宋体" w:eastAsia="宋体" w:cs="宋体"/>
          <w:b/>
          <w:sz w:val="24"/>
        </w:rPr>
      </w:r>
      <w:r/>
    </w:p>
    <w:p>
      <w:pPr>
        <w:pStyle w:val="640"/>
        <w:ind w:left="0" w:right="0" w:firstLine="0"/>
        <w:jc w:val="both"/>
        <w:keepLines w:val="0"/>
        <w:keepNext w:val="0"/>
        <w:pageBreakBefore w:val="0"/>
        <w:spacing w:line="480" w:lineRule="auto"/>
        <w:widowControl w:val="off"/>
        <w:rPr>
          <w:rStyle w:val="646"/>
          <w:rFonts w:hint="eastAsia" w:ascii="宋体" w:hAnsi="宋体" w:eastAsia="宋体" w:cs="宋体"/>
          <w:b/>
          <w:sz w:val="24"/>
          <w:lang w:val="en-US" w:eastAsia="zh-CN"/>
        </w:rPr>
        <w:outlineLvl w:val="9"/>
      </w:pPr>
      <w:r>
        <w:rPr>
          <w:rStyle w:val="646"/>
          <w:rFonts w:hint="eastAsia" w:ascii="宋体" w:hAnsi="宋体" w:eastAsia="宋体" w:cs="宋体"/>
          <w:b/>
          <w:sz w:val="24"/>
        </w:rPr>
        <w:t xml:space="preserve">三、项目要求和有关说明</w:t>
      </w:r>
      <w:r/>
    </w:p>
    <w:p>
      <w:pPr>
        <w:pStyle w:val="640"/>
        <w:ind w:left="0" w:right="0" w:firstLine="0"/>
        <w:jc w:val="both"/>
        <w:keepLines w:val="0"/>
        <w:keepNext w:val="0"/>
        <w:pageBreakBefore w:val="0"/>
        <w:spacing w:line="480" w:lineRule="auto"/>
        <w:widowControl w:val="off"/>
        <w:rPr>
          <w:rStyle w:val="646"/>
          <w:rFonts w:hint="eastAsia" w:ascii="宋体" w:hAnsi="宋体" w:eastAsia="宋体" w:cs="宋体"/>
          <w:b/>
          <w:sz w:val="24"/>
        </w:rPr>
        <w:outlineLvl w:val="9"/>
      </w:pPr>
      <w:r>
        <w:rPr>
          <w:rFonts w:hint="eastAsia" w:ascii="宋体" w:hAnsi="宋体" w:eastAsia="宋体" w:cs="宋体"/>
          <w:b/>
          <w:sz w:val="24"/>
        </w:rPr>
      </w:r>
      <w:r/>
    </w:p>
    <w:p>
      <w:pPr>
        <w:pStyle w:val="640"/>
        <w:numPr>
          <w:ilvl w:val="0"/>
          <w:numId w:val="0"/>
        </w:numPr>
        <w:ind w:left="0" w:right="0" w:firstLine="0"/>
        <w:jc w:val="both"/>
        <w:keepLines w:val="0"/>
        <w:keepNext w:val="0"/>
        <w:pageBreakBefore w:val="0"/>
        <w:spacing w:line="480" w:lineRule="auto"/>
        <w:widowControl w:val="off"/>
        <w:rPr>
          <w:rStyle w:val="646"/>
          <w:rFonts w:hint="default" w:ascii="宋体" w:hAnsi="宋体" w:eastAsia="宋体" w:cs="宋体"/>
          <w:b/>
          <w:sz w:val="24"/>
          <w:lang w:val="en-US" w:eastAsia="zh-CN"/>
        </w:rPr>
        <w:outlineLvl w:val="9"/>
      </w:pPr>
      <w:r>
        <w:rPr>
          <w:rStyle w:val="646"/>
          <w:rFonts w:hint="eastAsia" w:ascii="宋体" w:hAnsi="宋体" w:eastAsia="宋体" w:cs="宋体"/>
          <w:b/>
          <w:sz w:val="24"/>
          <w:lang w:val="en-US" w:eastAsia="zh-CN"/>
        </w:rPr>
        <w:t xml:space="preserve">四、</w:t>
      </w:r>
      <w:r>
        <w:rPr>
          <w:rStyle w:val="646"/>
          <w:rFonts w:hint="eastAsia" w:ascii="宋体" w:hAnsi="宋体" w:eastAsia="宋体" w:cs="宋体"/>
          <w:b/>
          <w:sz w:val="24"/>
        </w:rPr>
        <w:t xml:space="preserve">合同书</w:t>
      </w:r>
      <w:r>
        <w:rPr>
          <w:rStyle w:val="646"/>
          <w:rFonts w:hint="eastAsia" w:ascii="宋体" w:hAnsi="宋体" w:eastAsia="宋体" w:cs="宋体"/>
          <w:b/>
          <w:sz w:val="24"/>
          <w:lang w:eastAsia="zh-CN"/>
        </w:rPr>
        <w:t xml:space="preserve">（</w:t>
      </w:r>
      <w:r>
        <w:rPr>
          <w:rStyle w:val="646"/>
          <w:rFonts w:hint="eastAsia" w:ascii="宋体" w:hAnsi="宋体" w:eastAsia="宋体" w:cs="宋体"/>
          <w:b/>
          <w:sz w:val="24"/>
          <w:lang w:val="en-US" w:eastAsia="zh-CN"/>
        </w:rPr>
        <w:t xml:space="preserve">格式</w:t>
      </w:r>
      <w:r>
        <w:rPr>
          <w:rStyle w:val="646"/>
          <w:rFonts w:hint="eastAsia" w:ascii="宋体" w:hAnsi="宋体" w:eastAsia="宋体" w:cs="宋体"/>
          <w:b/>
          <w:sz w:val="24"/>
          <w:lang w:eastAsia="zh-CN"/>
        </w:rPr>
        <w:t xml:space="preserve">）</w:t>
      </w:r>
      <w:r/>
    </w:p>
    <w:p>
      <w:pPr>
        <w:pStyle w:val="630"/>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640"/>
        <w:ind w:left="0" w:right="0" w:firstLine="0"/>
        <w:jc w:val="left"/>
        <w:keepLines w:val="0"/>
        <w:keepNext w:val="0"/>
        <w:pageBreakBefore w:val="0"/>
        <w:spacing w:line="480" w:lineRule="auto"/>
        <w:widowControl w:val="off"/>
        <w:rPr>
          <w:rStyle w:val="646"/>
          <w:rFonts w:hint="default" w:ascii="宋体" w:hAnsi="宋体" w:eastAsia="宋体" w:cs="宋体"/>
          <w:b/>
          <w:sz w:val="24"/>
          <w:lang w:val="en-US" w:eastAsia="zh-CN"/>
        </w:rPr>
        <w:outlineLvl w:val="9"/>
      </w:pPr>
      <w:r>
        <w:rPr>
          <w:rStyle w:val="646"/>
          <w:rFonts w:hint="eastAsia" w:ascii="宋体" w:hAnsi="宋体" w:eastAsia="宋体" w:cs="宋体"/>
          <w:b/>
          <w:sz w:val="24"/>
          <w:lang w:val="en-US" w:eastAsia="zh-CN"/>
        </w:rPr>
        <w:t xml:space="preserve">五、</w:t>
      </w:r>
      <w:r>
        <w:rPr>
          <w:rStyle w:val="646"/>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rPr>
          <w:rFonts w:hint="eastAsia" w:ascii="宋体" w:hAnsi="宋体" w:eastAsia="宋体" w:cs="宋体"/>
          <w:b/>
          <w:sz w:val="36"/>
          <w:szCs w:val="28"/>
        </w:rPr>
      </w:pPr>
      <w:r>
        <w:rPr>
          <w:rFonts w:hint="eastAsia" w:ascii="宋体" w:hAnsi="宋体" w:eastAsia="宋体" w:cs="宋体"/>
          <w:b/>
          <w:sz w:val="36"/>
          <w:szCs w:val="28"/>
        </w:rPr>
        <w:br w:type="page" w:clear="all"/>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超声机(心脏)</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eastAsia="宋体" w:cs="宋体"/>
          <w:bCs/>
          <w:sz w:val="24"/>
          <w:szCs w:val="24"/>
          <w:lang w:val="en-US" w:eastAsia="zh-CN"/>
        </w:rPr>
        <w:t xml:space="preserve">无锡市惠山区人民医院</w:t>
      </w:r>
      <w:r>
        <w:rPr>
          <w:rFonts w:hint="eastAsia" w:ascii="宋体" w:hAnsi="宋体" w:cs="宋体"/>
          <w:bCs/>
          <w:sz w:val="24"/>
          <w:szCs w:val="24"/>
          <w:lang w:val="en-US" w:eastAsia="zh-CN"/>
        </w:rPr>
        <w:t xml:space="preserve">超声机(心脏)</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JSZC-320206-SMDG-G2025-0199</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270.00</w:t>
      </w:r>
      <w:r>
        <w:rPr>
          <w:rFonts w:hint="eastAsia" w:ascii="宋体" w:hAnsi="宋体" w:eastAsia="宋体" w:cs="宋体"/>
          <w:bCs/>
          <w:sz w:val="24"/>
          <w:szCs w:val="24"/>
          <w:lang w:val="en-US" w:eastAsia="zh-CN"/>
        </w:rPr>
        <w:t xml:space="preserve">万元。投标人的投标报价不得超过预算价，否则作无效投标文件处理。</w:t>
      </w:r>
      <w:r/>
    </w:p>
    <w:p>
      <w:pPr>
        <w:ind w:firstLine="480"/>
        <w:keepLines w:val="0"/>
        <w:keepNext w:val="0"/>
        <w:pageBreakBefore w:val="0"/>
        <w:spacing w:line="360"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4.数量：1套</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5</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.本项目接受进口产品投标。</w:t>
      </w:r>
      <w:r>
        <w:rPr>
          <w:rFonts w:hint="eastAsia" w:ascii="宋体" w:hAnsi="宋体" w:eastAsia="宋体" w:cs="宋体"/>
          <w:bCs/>
          <w:sz w:val="24"/>
          <w:szCs w:val="24"/>
          <w:highlight w:val="none"/>
          <w:lang w:val="en-US" w:eastAsia="zh-CN"/>
        </w:rPr>
        <w:t xml:space="preserve">注：进口产品是指通过中国海关报关验放进入中国境内且产自关境外的产品。</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.本项目是否专门面向中小企业：</w:t>
      </w:r>
      <w:r>
        <w:rPr>
          <w:rFonts w:hint="eastAsia" w:ascii="宋体" w:hAnsi="宋体" w:cs="宋体"/>
          <w:bCs/>
          <w:sz w:val="24"/>
          <w:szCs w:val="24"/>
          <w:lang w:val="en-US" w:eastAsia="zh-CN"/>
        </w:rPr>
        <w:t xml:space="preserve">否</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本项目非专门面</w:t>
      </w:r>
      <w:r>
        <w:rPr>
          <w:rFonts w:hint="eastAsia" w:ascii="宋体" w:hAnsi="宋体" w:eastAsia="宋体" w:cs="宋体"/>
          <w:bCs/>
          <w:color w:val="000000"/>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.本项目的特定资格要求：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3.1</w:t>
      </w:r>
      <w:r>
        <w:rPr>
          <w:rFonts w:hint="eastAsia" w:ascii="宋体" w:hAnsi="宋体" w:eastAsia="宋体" w:cs="宋体"/>
          <w:sz w:val="24"/>
          <w:szCs w:val="24"/>
          <w:lang w:val="en-US" w:eastAsia="zh-CN"/>
        </w:rPr>
        <w:t xml:space="preserve">如根据国家相关政策规定，属于医疗器械监督管理的设备，需具备以下特定资格：</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投标人具有所投产品医疗器械生产许可（或备案）证或经营许可（或备案）证</w:t>
      </w:r>
      <w:r>
        <w:rPr>
          <w:rFonts w:hint="eastAsia" w:ascii="宋体" w:hAnsi="宋体" w:eastAsia="宋体" w:cs="宋体"/>
          <w:sz w:val="24"/>
          <w:szCs w:val="24"/>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）提供有效的医疗器械产品注册证或产品备案凭证。</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3.2如为进口产品，需提供有效的产品授权书。</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highlight w:val="white"/>
          <w:lang w:val="en-US" w:eastAsia="zh-CN"/>
        </w:rPr>
        <w:t xml:space="preserve">至202</w:t>
      </w:r>
      <w:r>
        <w:rPr>
          <w:rFonts w:hint="eastAsia" w:ascii="宋体" w:hAnsi="宋体" w:cs="宋体"/>
          <w:sz w:val="24"/>
          <w:szCs w:val="24"/>
          <w:highlight w:val="white"/>
          <w:lang w:val="en-US" w:eastAsia="zh-CN"/>
        </w:rPr>
        <w:t xml:space="preserve">5</w:t>
      </w:r>
      <w:r>
        <w:rPr>
          <w:rFonts w:hint="eastAsia" w:ascii="宋体" w:hAnsi="宋体" w:eastAsia="宋体" w:cs="宋体"/>
          <w:sz w:val="24"/>
          <w:szCs w:val="24"/>
          <w:highlight w:val="white"/>
          <w:lang w:val="en-US" w:eastAsia="zh-CN"/>
        </w:rPr>
        <w:t xml:space="preserve">年</w:t>
      </w:r>
      <w:r>
        <w:rPr>
          <w:rFonts w:hint="eastAsia" w:ascii="宋体" w:hAnsi="宋体" w:cs="宋体"/>
          <w:sz w:val="24"/>
          <w:szCs w:val="24"/>
          <w:highlight w:val="white"/>
          <w:lang w:val="en-US" w:eastAsia="zh-CN"/>
        </w:rPr>
        <w:t xml:space="preserve">12</w:t>
      </w:r>
      <w:r>
        <w:rPr>
          <w:rFonts w:hint="eastAsia" w:ascii="宋体" w:hAnsi="宋体" w:eastAsia="宋体" w:cs="宋体"/>
          <w:sz w:val="24"/>
          <w:szCs w:val="24"/>
          <w:highlight w:val="white"/>
          <w:lang w:val="en-US" w:eastAsia="zh-CN"/>
        </w:rPr>
        <w:t xml:space="preserve">月3</w:t>
      </w:r>
      <w:r>
        <w:rPr>
          <w:rFonts w:hint="eastAsia" w:ascii="宋体" w:hAnsi="宋体" w:eastAsia="宋体" w:cs="宋体"/>
          <w:sz w:val="24"/>
          <w:szCs w:val="24"/>
          <w:highlight w:val="white"/>
          <w:lang w:val="en-US" w:eastAsia="zh-CN"/>
        </w:rPr>
        <w:t xml:space="preserve">日</w:t>
      </w:r>
      <w:r>
        <w:rPr>
          <w:rFonts w:hint="eastAsia" w:ascii="宋体" w:hAnsi="宋体" w:cs="宋体"/>
          <w:sz w:val="24"/>
          <w:szCs w:val="24"/>
          <w:highlight w:val="white"/>
          <w:lang w:val="en-US" w:eastAsia="zh-CN"/>
        </w:rPr>
        <w:t xml:space="preserve">23</w:t>
      </w:r>
      <w:r>
        <w:rPr>
          <w:rFonts w:hint="eastAsia" w:ascii="宋体" w:hAnsi="宋体" w:eastAsia="宋体" w:cs="宋体"/>
          <w:sz w:val="24"/>
          <w:szCs w:val="24"/>
          <w:highlight w:val="white"/>
          <w:lang w:val="en-US" w:eastAsia="zh-CN"/>
        </w:rPr>
        <w:t xml:space="preserve">:</w:t>
      </w:r>
      <w:r>
        <w:rPr>
          <w:rFonts w:hint="eastAsia" w:ascii="宋体" w:hAnsi="宋体" w:cs="宋体"/>
          <w:sz w:val="24"/>
          <w:szCs w:val="24"/>
          <w:highlight w:val="white"/>
          <w:lang w:val="en-US" w:eastAsia="zh-CN"/>
        </w:rPr>
        <w:t xml:space="preserve">59</w:t>
      </w:r>
      <w:r>
        <w:rPr>
          <w:rFonts w:hint="eastAsia" w:ascii="宋体" w:hAnsi="宋体" w:eastAsia="宋体" w:cs="宋体"/>
          <w:sz w:val="24"/>
          <w:szCs w:val="24"/>
          <w:highlight w:val="white"/>
          <w:lang w:val="en-US" w:eastAsia="zh-CN"/>
        </w:rPr>
        <w:t xml:space="preserve">时</w:t>
      </w:r>
      <w:r>
        <w:rPr>
          <w:rFonts w:hint="eastAsia" w:ascii="宋体" w:hAnsi="宋体" w:eastAsia="宋体" w:cs="宋体"/>
          <w:sz w:val="24"/>
          <w:szCs w:val="24"/>
          <w:lang w:val="en-US" w:eastAsia="zh-CN"/>
        </w:rPr>
        <w:t xml:space="preserve">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highlight w:val="white"/>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w:t>
      </w:r>
      <w:r>
        <w:rPr>
          <w:rFonts w:hint="eastAsia" w:ascii="宋体" w:hAnsi="宋体" w:eastAsia="宋体" w:cs="宋体"/>
          <w:b/>
          <w:bCs/>
          <w:sz w:val="24"/>
          <w:szCs w:val="24"/>
          <w:highlight w:val="white"/>
        </w:rPr>
        <w:t xml:space="preserve">标 </w:t>
      </w:r>
      <w:r>
        <w:rPr>
          <w:rFonts w:hint="eastAsia" w:ascii="宋体" w:hAnsi="宋体" w:eastAsia="宋体" w:cs="宋体"/>
          <w:sz w:val="24"/>
          <w:szCs w:val="24"/>
          <w:highlight w:val="white"/>
        </w:rPr>
        <w:t xml:space="preserve">  </w:t>
      </w:r>
      <w:r>
        <w:rPr>
          <w:highlight w:val="white"/>
        </w:rP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网上投标截止时间：</w:t>
      </w:r>
      <w:r>
        <w:rPr>
          <w:rFonts w:hint="eastAsia" w:ascii="宋体" w:hAnsi="宋体" w:cs="宋体"/>
          <w:sz w:val="24"/>
          <w:szCs w:val="24"/>
          <w:highlight w:val="white"/>
          <w:lang w:eastAsia="zh-CN"/>
        </w:rPr>
        <w:t xml:space="preserve">202</w:t>
      </w:r>
      <w:r>
        <w:rPr>
          <w:rFonts w:hint="eastAsia" w:ascii="宋体" w:hAnsi="宋体" w:cs="宋体"/>
          <w:sz w:val="24"/>
          <w:szCs w:val="24"/>
          <w:highlight w:val="white"/>
          <w:lang w:val="en-US" w:eastAsia="zh-CN"/>
        </w:rPr>
        <w:t xml:space="preserve">5</w:t>
      </w:r>
      <w:r>
        <w:rPr>
          <w:rFonts w:hint="eastAsia" w:ascii="宋体" w:hAnsi="宋体" w:cs="宋体"/>
          <w:sz w:val="24"/>
          <w:szCs w:val="24"/>
          <w:highlight w:val="white"/>
          <w:lang w:eastAsia="zh-CN"/>
        </w:rPr>
        <w:t xml:space="preserve">年</w:t>
      </w:r>
      <w:r>
        <w:rPr>
          <w:rFonts w:hint="eastAsia" w:ascii="宋体" w:hAnsi="宋体" w:cs="宋体"/>
          <w:sz w:val="24"/>
          <w:szCs w:val="24"/>
          <w:highlight w:val="white"/>
          <w:lang w:val="en-US" w:eastAsia="zh-CN"/>
        </w:rPr>
        <w:t xml:space="preserve">12</w:t>
      </w:r>
      <w:r>
        <w:rPr>
          <w:rFonts w:hint="eastAsia" w:ascii="宋体" w:hAnsi="宋体" w:cs="宋体"/>
          <w:sz w:val="24"/>
          <w:szCs w:val="24"/>
          <w:highlight w:val="white"/>
          <w:lang w:eastAsia="zh-CN"/>
        </w:rPr>
        <w:t xml:space="preserve">月</w:t>
      </w:r>
      <w:r>
        <w:rPr>
          <w:rFonts w:hint="eastAsia" w:ascii="宋体" w:hAnsi="宋体" w:cs="宋体"/>
          <w:sz w:val="24"/>
          <w:szCs w:val="24"/>
          <w:highlight w:val="white"/>
          <w:lang w:val="en-US" w:eastAsia="zh-CN"/>
        </w:rPr>
        <w:t xml:space="preserve">18</w:t>
      </w:r>
      <w:r>
        <w:rPr>
          <w:rFonts w:hint="eastAsia" w:ascii="宋体" w:hAnsi="宋体" w:cs="宋体"/>
          <w:sz w:val="24"/>
          <w:szCs w:val="24"/>
          <w:highlight w:val="white"/>
          <w:lang w:eastAsia="zh-CN"/>
        </w:rPr>
        <w:t xml:space="preserve">日</w:t>
      </w:r>
      <w:r>
        <w:rPr>
          <w:rFonts w:hint="eastAsia" w:ascii="宋体" w:hAnsi="宋体" w:cs="宋体"/>
          <w:sz w:val="24"/>
          <w:szCs w:val="24"/>
          <w:highlight w:val="white"/>
          <w:lang w:val="en-US" w:eastAsia="zh-CN"/>
        </w:rPr>
        <w:t xml:space="preserve">10:00</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val="en-US" w:eastAsia="zh-CN"/>
        </w:rPr>
        <w:t xml:space="preserve">北京时间</w:t>
      </w:r>
      <w:r>
        <w:rPr>
          <w:rFonts w:hint="eastAsia" w:ascii="宋体" w:hAnsi="宋体" w:eastAsia="宋体" w:cs="宋体"/>
          <w:sz w:val="24"/>
          <w:szCs w:val="24"/>
          <w:highlight w:val="white"/>
          <w:lang w:eastAsia="zh-CN"/>
        </w:rPr>
        <w:t xml:space="preserve">）。</w:t>
      </w:r>
      <w:r>
        <w:rPr>
          <w:highlight w:val="white"/>
        </w:rP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highlight w:val="white"/>
        </w:rPr>
        <w:t xml:space="preserve">开标时间</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网上投标解密时间</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rPr>
        <w:t xml:space="preserve">：</w:t>
      </w:r>
      <w:r>
        <w:rPr>
          <w:rFonts w:hint="eastAsia" w:ascii="宋体" w:hAnsi="宋体" w:cs="宋体"/>
          <w:sz w:val="24"/>
          <w:szCs w:val="24"/>
          <w:highlight w:val="white"/>
          <w:lang w:eastAsia="zh-CN"/>
        </w:rPr>
        <w:t xml:space="preserve">202</w:t>
      </w:r>
      <w:r>
        <w:rPr>
          <w:rFonts w:hint="eastAsia" w:ascii="宋体" w:hAnsi="宋体" w:cs="宋体"/>
          <w:sz w:val="24"/>
          <w:szCs w:val="24"/>
          <w:highlight w:val="white"/>
          <w:lang w:val="en-US" w:eastAsia="zh-CN"/>
        </w:rPr>
        <w:t xml:space="preserve">5</w:t>
      </w:r>
      <w:r>
        <w:rPr>
          <w:rFonts w:hint="eastAsia" w:ascii="宋体" w:hAnsi="宋体" w:cs="宋体"/>
          <w:sz w:val="24"/>
          <w:szCs w:val="24"/>
          <w:highlight w:val="white"/>
          <w:lang w:eastAsia="zh-CN"/>
        </w:rPr>
        <w:t xml:space="preserve">年</w:t>
      </w:r>
      <w:r>
        <w:rPr>
          <w:rFonts w:hint="eastAsia" w:ascii="宋体" w:hAnsi="宋体" w:cs="宋体"/>
          <w:sz w:val="24"/>
          <w:szCs w:val="24"/>
          <w:highlight w:val="white"/>
          <w:lang w:val="en-US" w:eastAsia="zh-CN"/>
        </w:rPr>
        <w:t xml:space="preserve">12</w:t>
      </w:r>
      <w:r>
        <w:rPr>
          <w:rFonts w:hint="eastAsia" w:ascii="宋体" w:hAnsi="宋体" w:cs="宋体"/>
          <w:sz w:val="24"/>
          <w:szCs w:val="24"/>
          <w:highlight w:val="white"/>
          <w:lang w:eastAsia="zh-CN"/>
        </w:rPr>
        <w:t xml:space="preserve">月</w:t>
      </w:r>
      <w:r>
        <w:rPr>
          <w:rFonts w:hint="eastAsia" w:ascii="宋体" w:hAnsi="宋体" w:cs="宋体"/>
          <w:sz w:val="24"/>
          <w:szCs w:val="24"/>
          <w:highlight w:val="white"/>
          <w:lang w:val="en-US" w:eastAsia="zh-CN"/>
        </w:rPr>
        <w:t xml:space="preserve">18</w:t>
      </w:r>
      <w:r>
        <w:rPr>
          <w:rFonts w:hint="eastAsia" w:ascii="宋体" w:hAnsi="宋体" w:cs="宋体"/>
          <w:sz w:val="24"/>
          <w:szCs w:val="24"/>
          <w:highlight w:val="white"/>
          <w:lang w:eastAsia="zh-CN"/>
        </w:rPr>
        <w:t xml:space="preserve">日</w:t>
      </w:r>
      <w:r>
        <w:rPr>
          <w:rFonts w:hint="eastAsia" w:ascii="宋体" w:hAnsi="宋体" w:cs="宋体"/>
          <w:sz w:val="24"/>
          <w:szCs w:val="24"/>
          <w:highlight w:val="white"/>
          <w:lang w:val="en-US" w:eastAsia="zh-CN"/>
        </w:rPr>
        <w:t xml:space="preserve">10:0</w:t>
      </w:r>
      <w:r>
        <w:rPr>
          <w:rFonts w:hint="eastAsia" w:ascii="宋体" w:hAnsi="宋体" w:cs="宋体"/>
          <w:sz w:val="24"/>
          <w:szCs w:val="24"/>
          <w:highlight w:val="white"/>
          <w:lang w:val="en-US" w:eastAsia="zh-CN"/>
        </w:rPr>
        <w:t xml:space="preserve">0</w:t>
      </w:r>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w:t>
      </w:r>
      <w:r>
        <w:rPr>
          <w:rFonts w:hint="eastAsia" w:ascii="宋体" w:hAnsi="宋体"/>
          <w:color w:val="000000"/>
          <w:sz w:val="24"/>
          <w:szCs w:val="24"/>
          <w:highlight w:val="white"/>
          <w:lang w:val="en-US" w:eastAsia="zh-CN"/>
        </w:rPr>
        <w:t xml:space="preserve">将以线上不见面、电话咨询、邮件等方式开展线上答疑服务。截止至2025</w:t>
      </w:r>
      <w:r>
        <w:rPr>
          <w:rFonts w:hint="eastAsia" w:ascii="宋体" w:hAnsi="宋体"/>
          <w:color w:val="000000"/>
          <w:sz w:val="24"/>
          <w:szCs w:val="24"/>
          <w:highlight w:val="white"/>
          <w:lang w:val="en-US" w:eastAsia="zh-CN"/>
        </w:rPr>
        <w:t xml:space="preserve">年12月</w:t>
      </w:r>
      <w:r>
        <w:rPr>
          <w:rFonts w:hint="eastAsia" w:ascii="宋体" w:hAnsi="宋体"/>
          <w:color w:val="000000"/>
          <w:sz w:val="24"/>
          <w:szCs w:val="24"/>
          <w:highlight w:val="white"/>
          <w:lang w:val="en-US" w:eastAsia="zh-CN"/>
        </w:rPr>
        <w:t xml:space="preserve">4</w:t>
      </w:r>
      <w:bookmarkStart w:id="13" w:name="_GoBack"/>
      <w:r>
        <w:rPr>
          <w:highlight w:val="white"/>
        </w:rPr>
      </w:r>
      <w:bookmarkEnd w:id="13"/>
      <w:r>
        <w:rPr>
          <w:rFonts w:hint="eastAsia" w:ascii="宋体" w:hAnsi="宋体"/>
          <w:color w:val="000000"/>
          <w:sz w:val="24"/>
          <w:szCs w:val="24"/>
          <w:highlight w:val="white"/>
          <w:lang w:val="en-US" w:eastAsia="zh-CN"/>
        </w:rPr>
        <w:t xml:space="preserve">日1</w:t>
      </w:r>
      <w:r>
        <w:rPr>
          <w:rFonts w:hint="eastAsia" w:ascii="宋体" w:hAnsi="宋体"/>
          <w:color w:val="000000"/>
          <w:sz w:val="24"/>
          <w:szCs w:val="24"/>
          <w:highlight w:val="white"/>
          <w:lang w:val="en-US" w:eastAsia="zh-CN"/>
        </w:rPr>
        <w:t xml:space="preserve">0:00前，有关单位对</w:t>
      </w:r>
      <w:r>
        <w:rPr>
          <w:rFonts w:hint="eastAsia" w:ascii="宋体" w:hAnsi="宋体"/>
          <w:color w:val="000000"/>
          <w:sz w:val="24"/>
          <w:szCs w:val="24"/>
          <w:highlight w:val="white"/>
        </w:rPr>
        <w:t xml:space="preserve">于招标文件的相关事项如有疑问可通过上述方式咨询；投标</w:t>
      </w:r>
      <w:r>
        <w:rPr>
          <w:rFonts w:hint="eastAsia" w:ascii="宋体" w:hAnsi="宋体"/>
          <w:color w:val="000000"/>
          <w:sz w:val="24"/>
          <w:szCs w:val="24"/>
        </w:rPr>
        <w:t xml:space="preserve">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 xml:space="preserve">以邮件的方式</w:t>
      </w:r>
      <w:r>
        <w:rPr>
          <w:rFonts w:hint="eastAsia" w:ascii="宋体" w:hAnsi="宋体"/>
          <w:color w:val="000000"/>
          <w:sz w:val="24"/>
          <w:szCs w:val="24"/>
        </w:rPr>
        <w:t xml:space="preserve">给项目联系人。若未在法定时间内提出澄清，由此造成的损失及风险由投标人自行承担</w:t>
      </w:r>
      <w:r>
        <w:rPr>
          <w:rFonts w:hint="eastAsia" w:ascii="宋体" w:hAnsi="宋体"/>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2.本项目无须缴纳投标保证金。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联系人：</w:t>
      </w:r>
      <w:r>
        <w:rPr>
          <w:rFonts w:hint="eastAsia" w:ascii="宋体" w:hAnsi="宋体" w:eastAsia="宋体" w:cs="宋体"/>
          <w:bCs/>
          <w:sz w:val="24"/>
          <w:szCs w:val="24"/>
          <w:highlight w:val="none"/>
          <w:lang w:val="en-US" w:eastAsia="zh-CN"/>
        </w:rPr>
        <w:t xml:space="preserve">张颖卓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645"/>
          <w:rFonts w:hint="eastAsia" w:ascii="宋体" w:hAnsi="宋体" w:eastAsia="宋体" w:cs="宋体"/>
          <w:sz w:val="24"/>
          <w:szCs w:val="24"/>
          <w:lang w:val="en-US" w:eastAsia="zh-CN"/>
        </w:rPr>
        <w:t xml:space="preserve">zhuzhiyun</w:t>
      </w:r>
      <w:r>
        <w:rPr>
          <w:rStyle w:val="645"/>
          <w:rFonts w:hint="eastAsia" w:ascii="宋体" w:hAnsi="宋体" w:eastAsia="宋体" w:cs="宋体"/>
          <w:sz w:val="24"/>
          <w:szCs w:val="24"/>
        </w:rPr>
        <w:t xml:space="preserve">@sumec.com.c</w:t>
      </w:r>
      <w:r>
        <w:rPr>
          <w:rStyle w:val="645"/>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632"/>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宋体" w:hAnsi="宋体" w:eastAsia="宋体" w:cs="宋体"/>
          <w:bCs/>
          <w:sz w:val="24"/>
          <w:szCs w:val="24"/>
        </w:rPr>
      </w:pPr>
      <w:r/>
      <w:bookmarkStart w:id="2" w:name="_Hlk6917373"/>
      <w:r/>
      <w:bookmarkStart w:id="3" w:name="_Hlk529436144"/>
      <w:r/>
      <w:bookmarkStart w:id="4" w:name="_Hlk525992732"/>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资格、</w:t>
      </w:r>
      <w:r>
        <w:rPr>
          <w:rFonts w:hint="eastAsia" w:ascii="宋体" w:hAnsi="宋体" w:cs="宋体"/>
          <w:bCs/>
          <w:sz w:val="24"/>
          <w:szCs w:val="24"/>
          <w:lang w:val="en-US" w:eastAsia="zh-CN"/>
        </w:rPr>
        <w:t xml:space="preserve">符合性</w:t>
      </w:r>
      <w:r>
        <w:rPr>
          <w:rFonts w:hint="eastAsia" w:ascii="宋体" w:hAnsi="宋体" w:eastAsia="宋体" w:cs="宋体"/>
          <w:bCs/>
          <w:sz w:val="24"/>
          <w:szCs w:val="24"/>
        </w:rPr>
        <w:t xml:space="preserve">证明文件：</w:t>
      </w:r>
      <w:r/>
    </w:p>
    <w:p>
      <w:pPr>
        <w:ind w:left="0" w:firstLine="480"/>
        <w:keepLines w:val="0"/>
        <w:keepNext w:val="0"/>
        <w:pageBreakBefore w:val="0"/>
        <w:spacing w:line="360" w:lineRule="auto"/>
        <w:tabs>
          <w:tab w:val="left" w:pos="420" w:leader="none"/>
          <w:tab w:val="left" w:pos="1155" w:leader="none"/>
        </w:tabs>
        <w:rPr>
          <w:rFonts w:ascii="Times New Roman" w:hAnsi="Times New Roman" w:cs="Times New Roman"/>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投标供应商企业营业执照副本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w:t>
      </w:r>
      <w:r>
        <w:rPr>
          <w:rFonts w:hint="eastAsia" w:ascii="Times New Roman" w:hAnsi="Times New Roman" w:cs="Times New Roman"/>
          <w:bCs/>
          <w:sz w:val="24"/>
          <w:szCs w:val="24"/>
        </w:rPr>
        <w:t xml:space="preserve">近三个月中任意一个月份</w:t>
      </w:r>
      <w:r>
        <w:rPr>
          <w:rFonts w:ascii="Times New Roman" w:hAnsi="Times New Roman" w:cs="Times New Roman"/>
          <w:bCs/>
          <w:sz w:val="24"/>
          <w:szCs w:val="24"/>
        </w:rPr>
        <w:t xml:space="preserve">(</w:t>
      </w:r>
      <w:r>
        <w:rPr>
          <w:rFonts w:hint="eastAsia" w:ascii="Times New Roman" w:hAnsi="Times New Roman" w:cs="Times New Roman"/>
          <w:bCs/>
          <w:sz w:val="24"/>
          <w:szCs w:val="24"/>
        </w:rPr>
        <w:t xml:space="preserve">不含投标当月</w:t>
      </w:r>
      <w:r>
        <w:rPr>
          <w:rFonts w:ascii="Times New Roman" w:hAnsi="Times New Roman" w:cs="Times New Roman"/>
          <w:bCs/>
          <w:sz w:val="24"/>
          <w:szCs w:val="24"/>
        </w:rPr>
        <w:t xml:space="preserve">)</w:t>
      </w:r>
      <w:r>
        <w:rPr>
          <w:rFonts w:hint="eastAsia" w:ascii="Times New Roman" w:hAnsi="Times New Roman" w:cs="Times New Roman"/>
          <w:bCs/>
          <w:sz w:val="24"/>
          <w:szCs w:val="24"/>
        </w:rPr>
        <w:t xml:space="preserve">的财务状况报告（</w:t>
      </w:r>
      <w:r>
        <w:rPr>
          <w:rFonts w:hint="eastAsia" w:ascii="Times New Roman" w:hAnsi="Times New Roman" w:cs="Times New Roman"/>
          <w:bCs/>
          <w:sz w:val="24"/>
          <w:szCs w:val="24"/>
          <w:lang w:val="en-US" w:eastAsia="zh-CN"/>
        </w:rPr>
        <w:t xml:space="preserve">至少包含</w:t>
      </w:r>
      <w:r>
        <w:rPr>
          <w:rFonts w:hint="eastAsia" w:ascii="Times New Roman" w:hAnsi="Times New Roman" w:cs="Times New Roman"/>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firstLine="480"/>
        <w:spacing w:line="360" w:lineRule="auto"/>
        <w:tabs>
          <w:tab w:val="left" w:pos="1050" w:leader="none"/>
        </w:tabs>
        <w:rPr>
          <w:rFonts w:hint="eastAsia" w:ascii="Times New Roman" w:hAnsi="Times New Roman" w:eastAsia="宋体" w:cs="Times New Roman"/>
          <w:lang w:eastAsia="zh-CN"/>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Times New Roman" w:hAnsi="Times New Roman" w:cs="Times New Roman"/>
          <w:bCs/>
          <w:sz w:val="24"/>
          <w:szCs w:val="24"/>
        </w:rPr>
        <w:t xml:space="preserve">投标供应商具备履行合同所必需的设备和专业技术能力的</w:t>
      </w:r>
      <w:r>
        <w:rPr>
          <w:rFonts w:hint="eastAsia" w:ascii="Times New Roman" w:hAnsi="Times New Roman" w:cs="Times New Roman"/>
          <w:bCs/>
          <w:sz w:val="24"/>
          <w:szCs w:val="24"/>
          <w:lang w:val="en-US" w:eastAsia="zh-CN"/>
        </w:rPr>
        <w:t xml:space="preserve">承诺书</w:t>
      </w:r>
      <w:r>
        <w:rPr>
          <w:rFonts w:hint="eastAsia" w:ascii="宋体" w:hAnsi="宋体" w:eastAsia="宋体" w:cs="宋体"/>
          <w:b/>
          <w:bCs/>
          <w:color w:val="000000"/>
          <w:sz w:val="24"/>
          <w:szCs w:val="24"/>
        </w:rPr>
        <w:t xml:space="preserve">扫描件并加盖公章或签电子公章</w:t>
      </w:r>
      <w:r>
        <w:rPr>
          <w:rFonts w:hint="eastAsia" w:ascii="Times New Roman" w:hAnsi="Times New Roman" w:cs="Times New Roman"/>
          <w:b w:val="0"/>
          <w:bCs/>
          <w:sz w:val="24"/>
          <w:szCs w:val="24"/>
        </w:rPr>
        <w:t xml:space="preserve">（</w:t>
      </w:r>
      <w:r>
        <w:rPr>
          <w:rFonts w:hint="eastAsia" w:ascii="Times New Roman" w:hAnsi="Times New Roman" w:cs="Times New Roman"/>
          <w:b/>
          <w:sz w:val="24"/>
          <w:szCs w:val="24"/>
        </w:rPr>
        <w:t xml:space="preserve">格式见附件</w:t>
      </w:r>
      <w:r>
        <w:rPr>
          <w:rFonts w:hint="eastAsia" w:ascii="Times New Roman" w:hAnsi="Times New Roman" w:cs="Times New Roman"/>
          <w:b w:val="0"/>
          <w:bCs/>
          <w:sz w:val="24"/>
          <w:szCs w:val="24"/>
        </w:rPr>
        <w:t xml:space="preserve">）</w:t>
      </w:r>
      <w:r>
        <w:rPr>
          <w:rFonts w:hint="eastAsia" w:ascii="Times New Roman" w:hAnsi="Times New Roman" w:cs="Times New Roman"/>
          <w:b w:val="0"/>
          <w:bCs/>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ascii="Times New Roman" w:hAnsi="Times New Roman" w:cs="Times New Roman"/>
          <w:b w:val="0"/>
          <w:bCs/>
          <w:sz w:val="24"/>
          <w:szCs w:val="24"/>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）投标供应商参加政府采购活动前3年内在经营活动中没有重大违法记录的</w:t>
      </w:r>
      <w:r>
        <w:rPr>
          <w:rFonts w:hint="eastAsia" w:ascii="宋体" w:hAnsi="宋体" w:eastAsia="宋体" w:cs="宋体"/>
          <w:sz w:val="24"/>
          <w:szCs w:val="24"/>
          <w:highlight w:val="none"/>
          <w:lang w:val="en-US" w:eastAsia="zh-CN"/>
        </w:rPr>
        <w:t xml:space="preserve">承诺书</w:t>
      </w:r>
      <w:r>
        <w:rPr>
          <w:rFonts w:hint="eastAsia" w:ascii="宋体" w:hAnsi="宋体" w:eastAsia="宋体" w:cs="宋体"/>
          <w:b/>
          <w:bCs/>
          <w:color w:val="000000"/>
          <w:sz w:val="24"/>
          <w:szCs w:val="24"/>
        </w:rPr>
        <w:t xml:space="preserve">扫描件并加盖公章或签电子公章</w:t>
      </w:r>
      <w:r>
        <w:rPr>
          <w:rFonts w:hint="eastAsia" w:ascii="Times New Roman" w:hAnsi="Times New Roman" w:cs="Times New Roman"/>
          <w:b w:val="0"/>
          <w:bCs/>
          <w:sz w:val="24"/>
          <w:szCs w:val="24"/>
        </w:rPr>
        <w:t xml:space="preserve">（</w:t>
      </w:r>
      <w:r>
        <w:rPr>
          <w:rFonts w:hint="eastAsia" w:ascii="Times New Roman" w:hAnsi="Times New Roman" w:cs="Times New Roman"/>
          <w:b/>
          <w:sz w:val="24"/>
          <w:szCs w:val="24"/>
        </w:rPr>
        <w:t xml:space="preserve">格式见附件</w:t>
      </w:r>
      <w:r>
        <w:rPr>
          <w:rFonts w:hint="eastAsia" w:ascii="Times New Roman" w:hAnsi="Times New Roman" w:cs="Times New Roman"/>
          <w:b w:val="0"/>
          <w:bCs/>
          <w:sz w:val="24"/>
          <w:szCs w:val="24"/>
        </w:rPr>
        <w:t xml:space="preserve">）</w:t>
      </w:r>
      <w:r>
        <w:rPr>
          <w:rFonts w:hint="eastAsia" w:ascii="Times New Roman" w:hAnsi="Times New Roman" w:cs="Times New Roman"/>
          <w:b w:val="0"/>
          <w:bCs/>
          <w:sz w:val="24"/>
          <w:szCs w:val="24"/>
          <w:lang w:eastAsia="zh-CN"/>
        </w:rPr>
        <w:t xml:space="preserve">；</w:t>
      </w:r>
      <w:r/>
    </w:p>
    <w:p>
      <w:pPr>
        <w:ind w:firstLine="480"/>
        <w:spacing w:line="360" w:lineRule="auto"/>
        <w:tabs>
          <w:tab w:val="left" w:pos="1050" w:leader="none"/>
        </w:tabs>
        <w:rPr>
          <w:rFonts w:hint="eastAsia" w:ascii="Times New Roman" w:hAnsi="Times New Roman" w:cs="Times New Roman"/>
          <w:b w:val="0"/>
          <w:bCs/>
          <w:sz w:val="24"/>
          <w:szCs w:val="24"/>
          <w:lang w:eastAsia="zh-CN"/>
        </w:rPr>
      </w:pPr>
      <w:r>
        <w:rPr>
          <w:rFonts w:hint="eastAsia" w:ascii="Times New Roman" w:hAnsi="Times New Roman" w:cs="Times New Roman"/>
          <w:b w:val="0"/>
          <w:bCs w:val="0"/>
          <w:color w:val="000000" w:themeColor="text1"/>
          <w:sz w:val="24"/>
          <w:szCs w:val="24"/>
          <w14:textFill>
            <w14:solidFill>
              <w14:schemeClr w14:val="tx1"/>
            </w14:solidFill>
          </w14:textFill>
        </w:rPr>
        <w:t xml:space="preserve">（</w:t>
      </w:r>
      <w:r>
        <w:rPr>
          <w:rFonts w:hint="eastAsia" w:cs="Times New Roman"/>
          <w:b w:val="0"/>
          <w:bCs w:val="0"/>
          <w:color w:val="000000" w:themeColor="text1"/>
          <w:sz w:val="24"/>
          <w:szCs w:val="24"/>
          <w:lang w:val="en-US" w:eastAsia="zh-CN"/>
          <w14:textFill>
            <w14:solidFill>
              <w14:schemeClr w14:val="tx1"/>
            </w14:solidFill>
          </w14:textFill>
        </w:rPr>
        <w:t xml:space="preserve">7</w:t>
      </w:r>
      <w:r>
        <w:rPr>
          <w:rFonts w:hint="eastAsia" w:ascii="Times New Roman" w:hAnsi="Times New Roman" w:cs="Times New Roman"/>
          <w:b w:val="0"/>
          <w:bCs w:val="0"/>
          <w:color w:val="000000" w:themeColor="text1"/>
          <w:sz w:val="24"/>
          <w:szCs w:val="24"/>
          <w14:textFill>
            <w14:solidFill>
              <w14:schemeClr w14:val="tx1"/>
            </w14:solidFill>
          </w14:textFill>
        </w:rPr>
        <w:t xml:space="preserve">）采购人要求的特定资质证明</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扫描件</w:t>
      </w:r>
      <w:r>
        <w:rPr>
          <w:rFonts w:hint="eastAsia" w:ascii="Times New Roman" w:hAnsi="Times New Roman" w:cs="Times New Roman"/>
          <w:b w:val="0"/>
          <w:bCs w:val="0"/>
          <w:color w:val="000000" w:themeColor="text1"/>
          <w:sz w:val="24"/>
          <w:szCs w:val="24"/>
          <w14:textFill>
            <w14:solidFill>
              <w14:schemeClr w14:val="tx1"/>
            </w14:solidFill>
          </w14:textFill>
        </w:rPr>
        <w:t xml:space="preserve">加盖公章（详见“投标邀请函”-“投标人资格要求”之</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3</w:t>
      </w:r>
      <w:r>
        <w:rPr>
          <w:rFonts w:hint="eastAsia" w:ascii="Times New Roman" w:hAnsi="Times New Roman" w:cs="Times New Roman"/>
          <w:b w:val="0"/>
          <w:bCs w:val="0"/>
          <w:color w:val="000000" w:themeColor="text1"/>
          <w:sz w:val="24"/>
          <w:szCs w:val="24"/>
          <w14:textFill>
            <w14:solidFill>
              <w14:schemeClr w14:val="tx1"/>
            </w14:solidFill>
          </w14:textFill>
        </w:rPr>
        <w:t xml:space="preserve">中要求）</w:t>
      </w:r>
      <w:r>
        <w:rPr>
          <w:rFonts w:hint="eastAsia" w:ascii="Times New Roman" w:hAnsi="Times New Roman" w:cs="Times New Roman"/>
          <w:b w:val="0"/>
          <w:bCs w:val="0"/>
          <w:color w:val="000000" w:themeColor="text1"/>
          <w:sz w:val="24"/>
          <w:szCs w:val="24"/>
          <w:lang w:eastAsia="zh-CN"/>
          <w14:textFill>
            <w14:solidFill>
              <w14:schemeClr w14:val="tx1"/>
            </w14:solidFill>
          </w14:textFill>
        </w:rPr>
        <w:t xml:space="preserve">；</w:t>
      </w:r>
      <w:r/>
    </w:p>
    <w:p>
      <w:pPr>
        <w:ind w:firstLine="480"/>
        <w:spacing w:line="360" w:lineRule="auto"/>
        <w:tabs>
          <w:tab w:val="left" w:pos="1050" w:leader="none"/>
        </w:tabs>
        <w:rPr>
          <w:rFonts w:hint="eastAsia" w:ascii="宋体" w:hAnsi="宋体" w:eastAsia="宋体" w:cs="宋体"/>
          <w:b/>
          <w:bCs w:val="0"/>
          <w:sz w:val="24"/>
          <w:szCs w:val="24"/>
          <w:lang w:eastAsia="zh-CN"/>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8</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投标函</w:t>
      </w:r>
      <w:r>
        <w:rPr>
          <w:rFonts w:hint="eastAsia" w:ascii="宋体" w:hAnsi="宋体" w:eastAsia="宋体" w:cs="宋体"/>
          <w:b/>
          <w:bCs w:val="0"/>
          <w:sz w:val="24"/>
          <w:szCs w:val="24"/>
        </w:rPr>
        <w:t xml:space="preserve">（格式见附件）；</w:t>
      </w:r>
      <w:r/>
    </w:p>
    <w:p>
      <w:pPr>
        <w:ind w:firstLine="480"/>
        <w:spacing w:line="360" w:lineRule="auto"/>
        <w:tabs>
          <w:tab w:val="left" w:pos="1050" w:leader="none"/>
        </w:tabs>
        <w:rPr>
          <w:rFonts w:ascii="Times New Roman" w:hAnsi="Times New Roman" w:cs="Times New Roman"/>
          <w:bCs/>
          <w:sz w:val="24"/>
          <w:szCs w:val="24"/>
        </w:rPr>
      </w:pP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9</w:t>
      </w:r>
      <w:r>
        <w:rPr>
          <w:rFonts w:hint="eastAsia" w:ascii="宋体" w:hAnsi="宋体" w:cs="宋体"/>
          <w:bCs/>
          <w:sz w:val="24"/>
          <w:szCs w:val="24"/>
          <w:lang w:eastAsia="zh-CN"/>
        </w:rPr>
        <w:t xml:space="preserve">）</w:t>
      </w:r>
      <w:r>
        <w:rPr>
          <w:rFonts w:ascii="Times New Roman" w:hAnsi="Times New Roman" w:cs="Times New Roman"/>
          <w:bCs/>
          <w:sz w:val="24"/>
          <w:szCs w:val="24"/>
        </w:rPr>
        <w:t xml:space="preserve">关于资格的声明函</w:t>
      </w:r>
      <w:r>
        <w:rPr>
          <w:rFonts w:hint="eastAsia" w:ascii="宋体" w:hAnsi="宋体" w:eastAsia="宋体" w:cs="宋体"/>
          <w:b/>
          <w:bCs/>
          <w:color w:val="000000"/>
          <w:sz w:val="24"/>
          <w:szCs w:val="24"/>
        </w:rPr>
        <w:t xml:space="preserve">扫描件并加盖公章或签电子公章</w:t>
      </w:r>
      <w:r>
        <w:rPr>
          <w:rFonts w:hint="eastAsia" w:ascii="Times New Roman" w:hAnsi="Times New Roman" w:cs="Times New Roman"/>
          <w:b w:val="0"/>
          <w:bCs w:val="0"/>
          <w:sz w:val="24"/>
          <w:szCs w:val="24"/>
        </w:rPr>
        <w:t xml:space="preserve">（</w:t>
      </w:r>
      <w:r>
        <w:rPr>
          <w:rFonts w:ascii="Times New Roman" w:hAnsi="Times New Roman" w:cs="Times New Roman"/>
          <w:b/>
          <w:bCs/>
          <w:sz w:val="24"/>
          <w:szCs w:val="24"/>
        </w:rPr>
        <w:t xml:space="preserve">格式见附件</w:t>
      </w:r>
      <w:r>
        <w:rPr>
          <w:rFonts w:hint="eastAsia" w:ascii="Times New Roman" w:hAnsi="Times New Roman" w:cs="Times New Roman"/>
          <w:b w:val="0"/>
          <w:bCs w:val="0"/>
          <w:sz w:val="24"/>
          <w:szCs w:val="24"/>
        </w:rPr>
        <w:t xml:space="preserve">）</w:t>
      </w:r>
      <w:r>
        <w:rPr>
          <w:rFonts w:hint="eastAsia" w:ascii="Times New Roman" w:hAnsi="Times New Roman" w:cs="Times New Roman"/>
          <w:bCs/>
          <w:sz w:val="24"/>
          <w:szCs w:val="24"/>
        </w:rPr>
        <w:t xml:space="preserve">；</w:t>
      </w:r>
      <w:r/>
    </w:p>
    <w:p>
      <w:pPr>
        <w:ind w:firstLine="480"/>
        <w:spacing w:line="360" w:lineRule="auto"/>
        <w:tabs>
          <w:tab w:val="left" w:pos="1260" w:leader="none"/>
        </w:tabs>
        <w:rPr>
          <w:rFonts w:ascii="Times New Roman" w:hAnsi="Times New Roman" w:cs="Times New Roman"/>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w:t>
      </w:r>
      <w:r>
        <w:rPr>
          <w:rFonts w:hint="eastAsia" w:ascii="宋体" w:hAnsi="宋体" w:cs="宋体"/>
          <w:b/>
          <w:bCs/>
          <w:color w:val="000000"/>
          <w:sz w:val="24"/>
          <w:szCs w:val="24"/>
          <w:lang w:val="en-US" w:eastAsia="zh-CN"/>
        </w:rPr>
        <w:t xml:space="preserve">投标</w:t>
      </w:r>
      <w:r>
        <w:rPr>
          <w:rFonts w:hint="eastAsia" w:ascii="宋体" w:hAnsi="宋体" w:eastAsia="宋体" w:cs="宋体"/>
          <w:b/>
          <w:bCs/>
          <w:color w:val="000000"/>
          <w:sz w:val="24"/>
          <w:szCs w:val="24"/>
        </w:rPr>
        <w:t xml:space="preserve">的除外</w:t>
      </w:r>
      <w:r>
        <w:rPr>
          <w:rFonts w:hint="eastAsia" w:ascii="宋体" w:hAnsi="宋体" w:eastAsia="宋体" w:cs="宋体"/>
          <w:color w:val="000000"/>
          <w:sz w:val="24"/>
          <w:szCs w:val="24"/>
        </w:rPr>
        <w:t xml:space="preserve">）</w:t>
      </w:r>
      <w:r>
        <w:rPr>
          <w:rFonts w:hint="eastAsia" w:ascii="Times New Roman" w:hAnsi="Times New Roman" w:cs="Times New Roman"/>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b/>
          <w:bCs/>
          <w:color w:val="000000"/>
          <w:sz w:val="24"/>
          <w:szCs w:val="24"/>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rPr>
        <w:t xml:space="preserve">（身份证应为正、</w:t>
      </w:r>
      <w:r>
        <w:rPr>
          <w:rFonts w:hint="eastAsia" w:ascii="宋体" w:hAnsi="宋体" w:eastAsia="宋体" w:cs="宋体"/>
          <w:b w:val="0"/>
          <w:bCs w:val="0"/>
          <w:color w:val="000000"/>
          <w:sz w:val="24"/>
          <w:szCs w:val="24"/>
        </w:rPr>
        <w:t xml:space="preserve">反面</w:t>
      </w:r>
      <w:r>
        <w:rPr>
          <w:rFonts w:hint="eastAsia" w:ascii="宋体" w:hAnsi="宋体" w:cs="宋体"/>
          <w:b w:val="0"/>
          <w:bCs w:val="0"/>
          <w:color w:val="000000"/>
          <w:sz w:val="24"/>
          <w:szCs w:val="24"/>
          <w:lang w:eastAsia="zh-CN"/>
        </w:rPr>
        <w:t xml:space="preserve">，</w:t>
      </w:r>
      <w:r>
        <w:rPr>
          <w:rFonts w:hint="eastAsia" w:ascii="宋体" w:hAnsi="宋体" w:eastAsia="宋体" w:cs="宋体"/>
          <w:b w:val="0"/>
          <w:bCs w:val="0"/>
          <w:color w:val="000000"/>
          <w:sz w:val="24"/>
          <w:szCs w:val="24"/>
        </w:rPr>
        <w:t xml:space="preserve">法定代表人亲自参加</w:t>
      </w:r>
      <w:r>
        <w:rPr>
          <w:rFonts w:hint="eastAsia" w:ascii="宋体" w:hAnsi="宋体" w:cs="宋体"/>
          <w:b w:val="0"/>
          <w:bCs w:val="0"/>
          <w:color w:val="000000"/>
          <w:sz w:val="24"/>
          <w:szCs w:val="24"/>
          <w:lang w:val="en-US" w:eastAsia="zh-CN"/>
        </w:rPr>
        <w:t xml:space="preserve">投标</w:t>
      </w:r>
      <w:r>
        <w:rPr>
          <w:rFonts w:hint="eastAsia" w:ascii="宋体" w:hAnsi="宋体" w:eastAsia="宋体" w:cs="宋体"/>
          <w:b w:val="0"/>
          <w:bCs w:val="0"/>
          <w:color w:val="000000"/>
          <w:sz w:val="24"/>
          <w:szCs w:val="24"/>
        </w:rPr>
        <w:t xml:space="preserve">价的除外）；</w:t>
      </w:r>
      <w:r/>
    </w:p>
    <w:p>
      <w:pPr>
        <w:ind w:firstLine="480"/>
        <w:spacing w:line="360" w:lineRule="auto"/>
        <w:tabs>
          <w:tab w:val="left" w:pos="1050" w:leader="none"/>
        </w:tabs>
        <w:rPr>
          <w:rFonts w:hint="eastAsia"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bookmarkEnd w:id="5"/>
      <w:r/>
    </w:p>
    <w:p>
      <w:pPr>
        <w:ind w:firstLine="480"/>
        <w:spacing w:line="360" w:lineRule="auto"/>
        <w:tabs>
          <w:tab w:val="left" w:pos="105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开标一览表</w:t>
      </w:r>
      <w:r/>
    </w:p>
    <w:p>
      <w:pPr>
        <w:ind w:firstLine="480"/>
        <w:spacing w:line="360" w:lineRule="auto"/>
        <w:tabs>
          <w:tab w:val="left" w:pos="1260" w:leader="none"/>
        </w:tabs>
        <w:rPr>
          <w:rFonts w:hint="eastAsia" w:ascii="Times New Roman" w:hAnsi="Times New Roman" w:cs="Times New Roman"/>
          <w:b/>
          <w:bCs w:val="0"/>
          <w:sz w:val="24"/>
          <w:szCs w:val="24"/>
          <w:lang w:val="en-US" w:eastAsia="zh-CN"/>
        </w:rPr>
      </w:pPr>
      <w:r>
        <w:rPr>
          <w:rFonts w:hint="eastAsia" w:ascii="Times New Roman" w:hAnsi="Times New Roman" w:cs="Times New Roman"/>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细目报价表</w:t>
      </w:r>
      <w:r>
        <w:rPr>
          <w:rFonts w:hint="eastAsia" w:ascii="Times New Roman" w:hAnsi="Times New Roman" w:cs="Times New Roman"/>
          <w:b/>
          <w:bCs w:val="0"/>
          <w:sz w:val="24"/>
          <w:szCs w:val="24"/>
          <w:lang w:val="en-US" w:eastAsia="zh-CN"/>
        </w:rPr>
        <w:t xml:space="preserve">（格式见附件）</w:t>
      </w:r>
      <w:r/>
    </w:p>
    <w:p>
      <w:pPr>
        <w:ind w:firstLine="480"/>
        <w:spacing w:line="360" w:lineRule="auto"/>
        <w:tabs>
          <w:tab w:val="left" w:pos="525" w:leader="none"/>
          <w:tab w:val="left" w:pos="1050" w:leader="none"/>
        </w:tabs>
        <w:rPr>
          <w:rFonts w:hint="eastAsia" w:ascii="Times New Roman" w:hAnsi="Times New Roman" w:cs="Times New Roman"/>
          <w:bCs/>
          <w:sz w:val="24"/>
          <w:szCs w:val="24"/>
        </w:rPr>
      </w:pPr>
      <w:r>
        <w:rPr>
          <w:rFonts w:hint="eastAsia" w:ascii="Times New Roman" w:hAnsi="Times New Roman" w:cs="Times New Roman"/>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ascii="Times New Roman" w:hAnsi="Times New Roman" w:cs="Times New Roman"/>
          <w:b/>
          <w:sz w:val="24"/>
          <w:szCs w:val="24"/>
        </w:rPr>
        <w:t xml:space="preserve">（格式见附件）</w:t>
      </w:r>
      <w:r/>
    </w:p>
    <w:p>
      <w:pPr>
        <w:ind w:firstLine="480"/>
        <w:spacing w:line="360" w:lineRule="auto"/>
        <w:tabs>
          <w:tab w:val="left" w:pos="525" w:leader="none"/>
          <w:tab w:val="left" w:pos="1050" w:leader="none"/>
        </w:tabs>
        <w:rPr>
          <w:rFonts w:hint="eastAsia" w:ascii="Times New Roman" w:hAnsi="Times New Roman" w:cs="Times New Roman"/>
          <w:bCs/>
          <w:sz w:val="24"/>
          <w:szCs w:val="24"/>
        </w:rPr>
      </w:pPr>
      <w:r>
        <w:rPr>
          <w:rFonts w:hint="eastAsia" w:ascii="Times New Roman" w:hAnsi="Times New Roman" w:cs="Times New Roman"/>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ascii="Times New Roman" w:hAnsi="Times New Roman" w:cs="Times New Roman"/>
          <w:b/>
          <w:sz w:val="24"/>
          <w:szCs w:val="24"/>
        </w:rPr>
        <w:t xml:space="preserve">（格式见附件）</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zh-CN" w:eastAsia="zh-CN"/>
        </w:rPr>
        <w:t xml:space="preserve">设备主要性能的</w:t>
      </w:r>
      <w:r>
        <w:rPr>
          <w:rFonts w:hint="eastAsia" w:ascii="Times New Roman" w:hAnsi="Times New Roman" w:cs="Times New Roman"/>
          <w:bCs/>
          <w:sz w:val="24"/>
          <w:szCs w:val="24"/>
          <w:lang w:val="en-US" w:eastAsia="zh-CN"/>
        </w:rPr>
        <w:t xml:space="preserve">技术</w:t>
      </w:r>
      <w:r>
        <w:rPr>
          <w:rFonts w:hint="eastAsia" w:ascii="Times New Roman" w:hAnsi="Times New Roman" w:cs="Times New Roman"/>
          <w:bCs/>
          <w:sz w:val="24"/>
          <w:szCs w:val="24"/>
          <w:lang w:val="zh-CN" w:eastAsia="zh-CN"/>
        </w:rPr>
        <w:t xml:space="preserve">资料</w:t>
      </w:r>
      <w:r>
        <w:rPr>
          <w:rFonts w:hint="eastAsia" w:ascii="Times New Roman" w:hAnsi="Times New Roman" w:cs="Times New Roman"/>
          <w:bCs/>
          <w:sz w:val="24"/>
          <w:szCs w:val="24"/>
          <w:lang w:val="en-US" w:eastAsia="zh-CN"/>
        </w:rPr>
        <w:t xml:space="preserve">以及</w:t>
      </w:r>
      <w:r>
        <w:rPr>
          <w:rFonts w:hint="eastAsia" w:ascii="Times New Roman" w:hAnsi="Times New Roman" w:cs="Times New Roman"/>
          <w:bCs/>
          <w:sz w:val="24"/>
          <w:szCs w:val="24"/>
          <w:lang w:val="zh-CN" w:eastAsia="zh-CN"/>
        </w:rPr>
        <w:t xml:space="preserve">供应商认为需要提供的其他技术资料</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售后服务实施方案等</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评分标准中对应的所需证明材料（如有自行添加）</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要求采购人提供的配合（如有自拟并自行添加）</w:t>
      </w:r>
      <w:r/>
    </w:p>
    <w:p>
      <w:pPr>
        <w:ind w:firstLine="480"/>
        <w:spacing w:line="360" w:lineRule="auto"/>
        <w:tabs>
          <w:tab w:val="left" w:pos="1260" w:leader="none"/>
        </w:tabs>
        <w:rPr>
          <w:rFonts w:hint="eastAsia" w:ascii="Times New Roman" w:hAnsi="Times New Roman" w:cs="Times New Roman"/>
          <w:bCs/>
          <w:sz w:val="24"/>
          <w:szCs w:val="24"/>
          <w:lang w:val="en-US" w:eastAsia="zh-CN"/>
        </w:rPr>
      </w:pPr>
      <w:r>
        <w:rPr>
          <w:rFonts w:hint="eastAsia" w:ascii="Times New Roman" w:hAnsi="Times New Roman" w:cs="Times New Roman"/>
          <w:bCs/>
          <w:sz w:val="24"/>
          <w:szCs w:val="24"/>
          <w:lang w:val="en-US" w:eastAsia="zh-CN"/>
        </w:rPr>
        <w:t xml:space="preserve">10</w:t>
      </w:r>
      <w:r>
        <w:rPr>
          <w:rFonts w:hint="eastAsia" w:ascii="宋体" w:hAnsi="宋体" w:eastAsia="宋体" w:cs="宋体"/>
          <w:bCs/>
          <w:sz w:val="24"/>
          <w:szCs w:val="24"/>
          <w:lang w:eastAsia="zh-CN"/>
        </w:rPr>
        <w:t xml:space="preserve">.</w:t>
      </w:r>
      <w:r>
        <w:rPr>
          <w:rFonts w:hint="eastAsia" w:ascii="Times New Roman" w:hAnsi="Times New Roman" w:cs="Times New Roman"/>
          <w:bCs/>
          <w:sz w:val="24"/>
          <w:szCs w:val="24"/>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项必须全部提供</w:t>
      </w:r>
      <w:r>
        <w:rPr>
          <w:rFonts w:ascii="宋体" w:hAnsi="Times New Roman"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符合性</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4</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5</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两</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bookmarkEnd w:id="2"/>
      <w:bookmarkEnd w:id="3"/>
      <w:bookmarkEnd w:id="4"/>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pStyle w:val="652"/>
        <w:ind w:firstLine="482"/>
        <w:spacing w:line="360" w:lineRule="auto"/>
        <w:rPr>
          <w:rFonts w:hint="eastAsia" w:ascii="宋体" w:hAnsi="宋体" w:cs="宋体"/>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）预算或最高限价的；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rPr>
        <w:t xml:space="preserve">澄清有关问题。对投标文件中含义不明确、同类问题表述不一致或者有明显文字和计算错误的内容，评标委员会可以通过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发起询标要求投标人作出必要的澄清、说明或者纠正。投标人的澄清、说明或者补正应当通过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投标人的报价均超过采购预算，采购人不能支付的；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0"/>
        <w:spacing w:line="360" w:lineRule="auto"/>
        <w:tabs>
          <w:tab w:val="left" w:pos="1050" w:leader="none"/>
        </w:tabs>
        <w:rPr>
          <w:rFonts w:hint="eastAsia"/>
          <w:highlight w:val="none"/>
        </w:rPr>
      </w:pPr>
      <w:r>
        <w:rPr>
          <w:rFonts w:hint="eastAsia" w:ascii="宋体" w:hAnsi="宋体" w:eastAsia="宋体" w:cs="宋体"/>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631"/>
        <w:jc w:val="left"/>
        <w:rPr>
          <w:rFonts w:hint="eastAsia" w:ascii="Times New Roman" w:hAnsi="Times New Roman"/>
          <w:bCs/>
          <w:spacing w:val="0"/>
          <w:szCs w:val="24"/>
        </w:rPr>
      </w:pPr>
      <w:r>
        <w:rPr>
          <w:rFonts w:hint="eastAsia" w:ascii="Times New Roman" w:hAnsi="Times New Roman"/>
          <w:bCs/>
          <w:spacing w:val="0"/>
          <w:szCs w:val="24"/>
        </w:rPr>
      </w:r>
      <w:r/>
    </w:p>
    <w:p>
      <w:pPr>
        <w:pStyle w:val="631"/>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2"/>
        <w:rPr>
          <w:rFonts w:ascii="Times New Roman" w:hAnsi="Times New Roman"/>
          <w:bCs/>
          <w:spacing w:val="0"/>
          <w:szCs w:val="24"/>
        </w:rPr>
      </w:pPr>
      <w:r>
        <w:rPr>
          <w:rFonts w:ascii="Times New Roman" w:hAnsi="Times New Roman"/>
          <w:bCs/>
          <w:spacing w:val="0"/>
          <w:szCs w:val="24"/>
        </w:rPr>
      </w:r>
      <w:r/>
    </w:p>
    <w:p>
      <w:pPr>
        <w:pStyle w:val="632"/>
        <w:rPr>
          <w:rFonts w:ascii="Times New Roman" w:hAnsi="Times New Roman"/>
          <w:bCs/>
          <w:spacing w:val="0"/>
          <w:szCs w:val="24"/>
        </w:rPr>
      </w:pPr>
      <w:r>
        <w:rPr>
          <w:rFonts w:ascii="Times New Roman" w:hAnsi="Times New Roman"/>
          <w:bCs/>
          <w:spacing w:val="0"/>
          <w:szCs w:val="24"/>
        </w:rPr>
      </w:r>
      <w:r/>
    </w:p>
    <w:p>
      <w:pPr>
        <w:pStyle w:val="632"/>
        <w:rPr>
          <w:rFonts w:ascii="Times New Roman" w:hAnsi="Times New Roman"/>
          <w:bCs/>
          <w:spacing w:val="0"/>
          <w:szCs w:val="24"/>
        </w:rPr>
      </w:pPr>
      <w:r>
        <w:rPr>
          <w:rFonts w:ascii="Times New Roman" w:hAnsi="Times New Roman"/>
          <w:bCs/>
          <w:spacing w:val="0"/>
          <w:szCs w:val="24"/>
        </w:rPr>
      </w:r>
      <w:r/>
    </w:p>
    <w:p>
      <w:pPr>
        <w:pStyle w:val="631"/>
        <w:jc w:val="left"/>
        <w:rPr>
          <w:rFonts w:hint="eastAsia" w:ascii="Times New Roman" w:hAnsi="Times New Roman"/>
          <w:bCs/>
          <w:spacing w:val="0"/>
          <w:szCs w:val="24"/>
        </w:rPr>
      </w:pPr>
      <w:r>
        <w:rPr>
          <w:rFonts w:hint="eastAsia" w:ascii="Times New Roman" w:hAnsi="Times New Roman"/>
          <w:bCs/>
          <w:spacing w:val="0"/>
          <w:szCs w:val="24"/>
        </w:rPr>
      </w:r>
      <w:r/>
    </w:p>
    <w:p>
      <w:pPr>
        <w:pStyle w:val="631"/>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632"/>
        <w:rPr>
          <w:rFonts w:ascii="Times New Roman" w:hAnsi="Times New Roman"/>
          <w:bCs/>
          <w:spacing w:val="0"/>
          <w:szCs w:val="24"/>
        </w:rPr>
      </w:pPr>
      <w:r>
        <w:rPr>
          <w:rFonts w:ascii="Times New Roman" w:hAnsi="Times New Roman"/>
          <w:bCs/>
          <w:spacing w:val="0"/>
          <w:szCs w:val="24"/>
        </w:rPr>
      </w:r>
      <w:r/>
    </w:p>
    <w:p>
      <w:pPr>
        <w:pStyle w:val="632"/>
        <w:rPr>
          <w:rFonts w:ascii="Times New Roman" w:hAnsi="Times New Roman"/>
          <w:bCs/>
          <w:spacing w:val="0"/>
          <w:szCs w:val="24"/>
        </w:rPr>
      </w:pPr>
      <w:r>
        <w:rPr>
          <w:rFonts w:ascii="Times New Roman" w:hAnsi="Times New Roman"/>
          <w:bCs/>
          <w:spacing w:val="0"/>
          <w:szCs w:val="24"/>
        </w:rPr>
      </w:r>
      <w:r/>
    </w:p>
    <w:p>
      <w:pPr>
        <w:pStyle w:val="632"/>
        <w:rPr>
          <w:rFonts w:ascii="Times New Roman" w:hAnsi="Times New Roman"/>
          <w:bCs/>
          <w:spacing w:val="0"/>
          <w:szCs w:val="24"/>
        </w:rPr>
      </w:pPr>
      <w:r>
        <w:rPr>
          <w:rFonts w:ascii="Times New Roman" w:hAnsi="Times New Roman"/>
          <w:bCs/>
          <w:spacing w:val="0"/>
          <w:szCs w:val="24"/>
        </w:rPr>
      </w:r>
      <w:r/>
    </w:p>
    <w:p>
      <w:pPr>
        <w:pStyle w:val="632"/>
        <w:rPr>
          <w:rFonts w:ascii="Times New Roman" w:hAnsi="Times New Roman"/>
          <w:bCs/>
          <w:spacing w:val="0"/>
          <w:szCs w:val="24"/>
        </w:rPr>
      </w:pPr>
      <w:r>
        <w:rPr>
          <w:rFonts w:ascii="Times New Roman" w:hAnsi="Times New Roman"/>
          <w:bCs/>
          <w:spacing w:val="0"/>
          <w:szCs w:val="24"/>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bidi="ar-SA"/>
        </w:rPr>
        <w:t xml:space="preserve">三、</w:t>
      </w:r>
      <w:r>
        <w:rPr>
          <w:rFonts w:hint="eastAsia" w:ascii="宋体" w:hAnsi="宋体" w:eastAsia="宋体" w:cs="宋体"/>
          <w:b/>
          <w:sz w:val="36"/>
          <w:szCs w:val="28"/>
        </w:rPr>
        <w:t xml:space="preserve">项目要求和有关说明</w:t>
      </w:r>
      <w:bookmarkStart w:id="7" w:name="_Hlk39848466"/>
      <w:r/>
      <w:bookmarkEnd w:id="7"/>
      <w:r/>
    </w:p>
    <w:p>
      <w:pPr>
        <w:numPr>
          <w:ilvl w:val="0"/>
          <w:numId w:val="0"/>
        </w:numPr>
        <w:jc w:val="left"/>
        <w:spacing w:line="240" w:lineRule="auto"/>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r>
      <w:r/>
    </w:p>
    <w:p>
      <w:pPr>
        <w:numPr>
          <w:ilvl w:val="0"/>
          <w:numId w:val="0"/>
        </w:numPr>
        <w:jc w:val="left"/>
        <w:spacing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bidi="ar-SA"/>
        </w:rPr>
        <w:t xml:space="preserve">一、</w:t>
      </w: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1、彩色多普勒心脏超声诊断仪主机               一套</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2、成人经胸相控阵心脏探头                     一把</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3、儿童经胸相控阵心脏探头                     一把</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4、经食管四维探头                             一把</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5、成人经胸四维心脏探头                       一把</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6、凸阵腹部探头                               一把</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7、高频线阵探头                               一把</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lang w:val="en-US" w:eastAsia="zh-CN"/>
        </w:rPr>
        <w:t xml:space="preserve">8、报告工作站（含打印机）                     一套</w:t>
      </w:r>
      <w:r/>
    </w:p>
    <w:p>
      <w:pPr>
        <w:keepLines w:val="0"/>
        <w:keepNext w:val="0"/>
        <w:pageBreakBefore w:val="0"/>
        <w:spacing w:line="360" w:lineRule="auto"/>
        <w:widowControl w:val="off"/>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numPr>
          <w:ilvl w:val="0"/>
          <w:numId w:val="0"/>
        </w:numPr>
        <w:ind w:left="0" w:firstLine="0"/>
        <w:jc w:val="left"/>
        <w:spacing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rPr>
        <w:t xml:space="preserve">技术要求：</w:t>
      </w:r>
      <w:r/>
    </w:p>
    <w:p>
      <w:pPr>
        <w:keepLines w:val="0"/>
        <w:keepNext w:val="0"/>
        <w:pageBreakBefore w:val="0"/>
        <w:spacing w:line="360" w:lineRule="auto"/>
        <w:widowControl w:val="off"/>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1、技术参数要求</w:t>
      </w:r>
      <w:r/>
    </w:p>
    <w:p>
      <w:pPr>
        <w:keepLines w:val="0"/>
        <w:keepNext w:val="0"/>
        <w:pageBreakBefore w:val="0"/>
        <w:spacing w:line="360" w:lineRule="auto"/>
        <w:widowControl w:val="off"/>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 专业心脏超声诊断系统，可对各种心血管疾病进行准确和详细评估，多样化的四维经胸超声，四维经食管超声，四维心腔内超声检查途径，强化心力衰竭，冠心病、心肌病和心律失常的诊断和结构性心脏病患者诊断和监护。</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 ≥23英寸数字高分辨率专业影像级液晶显示器，屏幕大小为16:9宽屏格式，分辨率为≥1920 x 1080，多关节自由臂设计</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探头接口：标准接口≥4个，均可互通互换，所有探头接口均为无针式探头接口，具有磁吸式连接技术，可支持经胸容积探头，经食道容积探头，心腔容积导管。</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探头扫描深度≥45cm</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操作面板可上下左右进行高度调整及旋转</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具有</w:t>
      </w:r>
      <w:r>
        <w:rPr>
          <w:rFonts w:hint="eastAsia" w:ascii="宋体" w:hAnsi="宋体" w:eastAsia="宋体" w:cs="宋体"/>
          <w:color w:val="000000"/>
          <w:sz w:val="24"/>
          <w:szCs w:val="24"/>
        </w:rPr>
        <w:t xml:space="preserve">专业心超工作界面</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主机具备≥13英寸液晶触摸屏，按操作习惯进行功能分区，快速操作，分辨率≥ 1920 x 1080 </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 主机具备耦合剂加热装置：360度环绕加热方式，加热温度分级可控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 探头内置触控传感器，双击探头前端任何部位，即可激活探头进入扫查，无需在触摸屏上切换，方便使用</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 显示4种不同风格图像，在实时状态下快速切换，且预设联动，医生可自定义选择其中一个作为最优检查条件，减少操作；       </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 主机系统</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.1 数字化通道≥</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,000,000，全程动态聚焦发射声束，快速接收、处理海量数据，获得高容积帧图像</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.2 系统动态范围≥350dB</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.3 宽频带、多频可变频成像技术</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.4 数字化二维灰阶成像单元、谐波成像单元、彩色多普勒成像单元、频谱多普勒显示和M型、解剖M型及四维成像单元</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主要成像技术</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.1全像素聚焦成像技术。</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.2 超低速血流成像技术。</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.3多平面超声断层成像模式</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.4 清澈血流技术</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 具备血管增强技术，有效减少大血管及微细血管结构的噪声，提供更为清晰的血管壁定义和组织边界检测。有效增强深部血管和小血管管壁、管腔、血管内膜等结构的显示能力，可用于周围血管、浅表组织及胎心检查等，并支持≥3级可调</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.6 扇扩成像方式，相控阵探头通过改变其发射方式，将近场成像模式扩展为线阵模式，并扩展整个声场的扫查视野，同时轻松完整显示心尖部、侧壁等区域图像</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.7彩色多普勒扫描速度：成人经胸四维心脏探头：18cm，85°视角，帧速度≥</w:t>
      </w:r>
      <w:r>
        <w:rPr>
          <w:rFonts w:hint="eastAsia" w:ascii="宋体" w:hAnsi="宋体" w:eastAsia="宋体" w:cs="宋体"/>
          <w:color w:val="000000"/>
          <w:sz w:val="24"/>
          <w:szCs w:val="24"/>
          <w:lang w:val="en-US" w:eastAsia="zh-CN"/>
        </w:rPr>
        <w:t xml:space="preserve">55</w:t>
      </w:r>
      <w:r>
        <w:rPr>
          <w:rFonts w:hint="eastAsia" w:ascii="宋体" w:hAnsi="宋体" w:eastAsia="宋体" w:cs="宋体"/>
          <w:color w:val="000000"/>
          <w:sz w:val="24"/>
          <w:szCs w:val="24"/>
        </w:rPr>
        <w:t xml:space="preserve">帧/秒</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.8实时容积灰阶成像技术：经胸容积探头在常规16cm 检查深度、90°X 90°矩阵扫描角度，无心电图拼接，实现心脏全容积成像，最高成像容积帧频≥38帧/秒。</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.9 实时容积彩色血流成像技术：经胸容积探头在常规16cm检查深度, 彩色45°X 45°成像矩阵扫描角度, 无心电图拼接，实现心脏全容积成像，最高彩色血流容积帧频≥16帧/秒。</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.10实时容积彩色血流成像技术：矩阵经食道探头在常规12cm检查深度下, 彩色角度45°X 45°成像矩阵扫描角度, 无心电图拼接，实现心脏全容积成像，最高彩色血流容积帧频≥11帧/秒。   </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.11 实时智能扫查自动进行切面识别，自动定位放置彩色取样框ROI和多普勒ROI，有效改善工作流程，减少按键次数和检查时间，减少重复运动，提高检查标准化和可重复性，支持TTE ≥12个标准切面</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.12 智能图像零键优化技术，零键优化二维图像质量</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.13频谱多普勒零键优化技术，冻结瞬间自动优化频谱为最佳图像，无需特别按键操作</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测量分析功能</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 全模式自动测量（包括二维、M型、频谱多普勒及组织多普勒）</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 一般测量：涵盖腹部、浅表、血管等全身应用的距离、面积、体积、比例等测量参数、提供速度、加速度、加速时间、VTI等血流动力学参数等</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 具备对比脉冲序列造影功能，采用信号编码，提供出色组织抑制，提高造影剂的可检测性</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.4 全模式自动测量（包括二维、M型、频谱多普勒及组织多普勒）</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.5自动左心测量功能 </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.6 自动右房测量功能</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.7 支持一键心腔容量或面积定量分析</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.8 心肌应变定量功能 </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.9基于深度机器学习通过大型注释数据库和最先进的结合临床专家知识的人工智能技术来执行和协调多项任务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.10 全自动识别心腔切面并分析（全自动识别左心室切面并追踪，快速获得左心室整体应变值、左心室节段应变值、左心室长径值、左心室应变牛眼图和达峰时间牛眼图；全自动识别追踪左心房切面，快速获取左心房储备功能、管道功能、收缩功能应变值及曲线</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.11 连接和未连接心电信号的超声图像均可在机分析</w:t>
      </w:r>
      <w:r>
        <w:rPr>
          <w:rFonts w:hint="eastAsia" w:ascii="宋体" w:hAnsi="宋体" w:eastAsia="宋体" w:cs="宋体"/>
          <w:color w:val="000000"/>
          <w:sz w:val="24"/>
          <w:szCs w:val="24"/>
          <w:lang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.12 支持心腔超声造影功能</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.13 血管中内膜厚度自动测量</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 图像存储 (电影) 回放重显及病案管理单元</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 数字化捕捉、回放、存储静、动态图像，实时图像传输，JPG压缩</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 内置硬盘≥1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00GB；DVD及CD存储</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  输入/输出信号：</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.1 输入：VCR、外部视频、RGB彩色视频、S视频</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.2 输出：DP 高清输出</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 连通性：医学数字图像和通信 DICOM 3.0 版接口部件</w:t>
      </w:r>
      <w:r/>
    </w:p>
    <w:p>
      <w:pPr>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2、其他</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2.1</w:t>
      </w:r>
      <w:r>
        <w:rPr>
          <w:rFonts w:hint="eastAsia" w:ascii="宋体" w:hAnsi="宋体" w:eastAsia="宋体" w:cs="宋体"/>
          <w:color w:val="000000"/>
          <w:sz w:val="24"/>
          <w:szCs w:val="24"/>
        </w:rPr>
        <w:t xml:space="preserve">设计使用年限：≥10年</w:t>
      </w:r>
      <w:r>
        <w:rPr>
          <w:rFonts w:hint="eastAsia" w:ascii="宋体" w:hAnsi="宋体" w:eastAsia="宋体" w:cs="宋体"/>
          <w:color w:val="000000"/>
          <w:sz w:val="24"/>
          <w:szCs w:val="24"/>
          <w:lang w:eastAsia="zh-CN"/>
        </w:rPr>
        <w:t xml:space="preserve">。</w:t>
      </w:r>
      <w:r/>
    </w:p>
    <w:p>
      <w:pP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有关说明</w:t>
      </w:r>
      <w:r>
        <w:rPr>
          <w:rFonts w:hint="eastAsia" w:ascii="宋体" w:hAnsi="宋体" w:eastAsia="宋体" w:cs="宋体"/>
          <w:b/>
          <w:bCs/>
          <w:color w:val="000000"/>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设备免费保修期：整机质保≥3年（经食管四维探头除外），经食管四维探头质保一年。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在保质期内，故障发生后，要求供方在接报后2小时内响应，24小时之内到达现场排除故障；须提供故障不能排除时的解决方案。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lang w:val="en-US" w:eastAsia="zh-CN"/>
        </w:rPr>
        <w:t xml:space="preserve">供方需在合同生效之日起或接到院方通知后30日历日内向需方交付上述设备，并应保证所供进口设备生产日期为合同签订前180天内、国产设备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付款方式：采购合同签订生效后，采购人向中标方支付合同金额30%的预付款；待全部货物到达采购人指定地点，经验收合格并装机培训结束，中标方向采购人提供增值税发票后，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12、保修期内，年度定期预防性维护保养次数，不少于_</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_次；保修期满后，人工费为单次故障不高于_2000_元，年度保修协议价不高于设备总价的_</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__%，年度定期预防性维护保养次数，不少于</w:t>
      </w:r>
      <w:r>
        <w:rPr>
          <w:rFonts w:hint="eastAsia" w:ascii="宋体" w:hAnsi="宋体" w:eastAsia="宋体" w:cs="宋体"/>
          <w:color w:val="000000"/>
          <w:sz w:val="24"/>
          <w:szCs w:val="24"/>
          <w:u w:val="single"/>
        </w:rPr>
        <w:t xml:space="preserve"> 1</w:t>
      </w:r>
      <w:r>
        <w:rPr>
          <w:rFonts w:hint="eastAsia" w:ascii="宋体" w:hAnsi="宋体" w:eastAsia="宋体" w:cs="宋体"/>
          <w:color w:val="000000"/>
          <w:sz w:val="24"/>
          <w:szCs w:val="24"/>
        </w:rPr>
        <w:t xml:space="preserve">次。</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13、供应商负责设备的终身维修并应继续提供优质的服务，储备足够的零配件备库，保修期满后，以市场价</w:t>
      </w:r>
      <w:r>
        <w:rPr>
          <w:rFonts w:hint="eastAsia" w:ascii="宋体" w:hAnsi="宋体" w:cs="宋体"/>
          <w:color w:val="000000"/>
          <w:sz w:val="24"/>
          <w:szCs w:val="24"/>
          <w:u w:val="single"/>
          <w:lang w:val="en-US" w:eastAsia="zh-CN"/>
        </w:rPr>
        <w:t xml:space="preserve">8</w:t>
      </w:r>
      <w:r>
        <w:rPr>
          <w:rFonts w:hint="eastAsia" w:ascii="宋体" w:hAnsi="宋体" w:eastAsia="宋体" w:cs="宋体"/>
          <w:color w:val="000000"/>
          <w:sz w:val="24"/>
          <w:szCs w:val="24"/>
          <w:u w:val="single"/>
        </w:rPr>
        <w:t xml:space="preserve">0% </w:t>
      </w:r>
      <w:r>
        <w:rPr>
          <w:rFonts w:hint="eastAsia" w:ascii="宋体" w:hAnsi="宋体" w:eastAsia="宋体" w:cs="宋体"/>
          <w:color w:val="000000"/>
          <w:sz w:val="24"/>
          <w:szCs w:val="24"/>
        </w:rPr>
        <w:t xml:space="preserve">的优惠价供应维修零配件，消耗品的供应应由双方另设协议决定。</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ind w:left="0" w:firstLine="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center"/>
        <w:tabs>
          <w:tab w:val="left" w:pos="675" w:leader="none"/>
        </w:tabs>
        <w:rPr>
          <w:rFonts w:hint="eastAsia" w:ascii="Times New Roman" w:hAnsi="Times New Roman" w:eastAsia="宋体" w:cs="Times New Roman"/>
          <w:b/>
          <w:sz w:val="32"/>
          <w:szCs w:val="32"/>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lang w:val="en-US" w:eastAsia="zh-CN" w:bidi="ar-SA"/>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630"/>
        <w:rPr>
          <w:rFonts w:hint="eastAsia"/>
        </w:rPr>
      </w:pPr>
      <w:r>
        <w:rPr>
          <w:rFonts w:hint="eastAsia"/>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634"/>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634"/>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634"/>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627"/>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numPr>
          <w:ilvl w:val="0"/>
          <w:numId w:val="0"/>
        </w:numPr>
        <w:ind w:firstLine="472"/>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 xml:space="preserve">供方需在合同生效之日起或接到院方通知后</w:t>
      </w:r>
      <w:r>
        <w:rPr>
          <w:rFonts w:hint="eastAsia" w:asciiTheme="minorEastAsia" w:hAnsiTheme="minorEastAsia" w:eastAsiaTheme="minorEastAsia" w:cstheme="minorEastAsia"/>
          <w:color w:val="auto"/>
          <w:spacing w:val="-2"/>
          <w:sz w:val="24"/>
          <w:szCs w:val="24"/>
          <w:u w:val="single"/>
          <w:lang w:val="en-US" w:eastAsia="zh-CN"/>
        </w:rPr>
        <w:t xml:space="preserve">     </w:t>
      </w:r>
      <w:r>
        <w:rPr>
          <w:rFonts w:hint="eastAsia" w:asciiTheme="minorEastAsia" w:hAnsiTheme="minorEastAsia" w:eastAsiaTheme="minorEastAsia" w:cstheme="minorEastAsia"/>
          <w:color w:val="auto"/>
          <w:spacing w:val="-2"/>
          <w:sz w:val="24"/>
          <w:szCs w:val="24"/>
          <w:lang w:eastAsia="zh-CN"/>
        </w:rPr>
        <w:t xml:space="preserve">日历日内向需方交付上述设备，并应保证所供进口设备生产日期为合同签订前180天内、国产设备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numPr>
          <w:ilvl w:val="0"/>
          <w:numId w:val="0"/>
        </w:numPr>
        <w:ind w:right="59" w:firstLine="456"/>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应提供保修期_______</w:t>
      </w:r>
      <w:r>
        <w:rPr>
          <w:rFonts w:hint="eastAsia" w:asciiTheme="minorEastAsia" w:hAnsiTheme="minorEastAsia" w:eastAsiaTheme="minorEastAsia" w:cstheme="minorEastAsia"/>
          <w:color w:val="auto"/>
          <w:spacing w:val="-3"/>
          <w:sz w:val="24"/>
          <w:szCs w:val="24"/>
          <w:lang w:val="en-US" w:eastAsia="zh-CN"/>
        </w:rPr>
        <w:t xml:space="preserve">年</w:t>
      </w:r>
      <w:r>
        <w:rPr>
          <w:rFonts w:hint="eastAsia" w:asciiTheme="minorEastAsia" w:hAnsiTheme="minorEastAsia" w:eastAsiaTheme="minorEastAsia" w:cstheme="minorEastAsia"/>
          <w:color w:val="auto"/>
          <w:spacing w:val="-3"/>
          <w:sz w:val="24"/>
          <w:szCs w:val="24"/>
        </w:rPr>
        <w:t xml:space="preserve">，保修期的期限应以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次。乙方负责设备的终身维修并应继续提供优质的服务，储备足够的零配件备库，保修期满后，以</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的优惠价供应维修零配件，消耗品的供应应由双方另设协议决定。</w:t>
      </w:r>
      <w:r/>
    </w:p>
    <w:p>
      <w:pPr>
        <w:numPr>
          <w:ilvl w:val="0"/>
          <w:numId w:val="0"/>
        </w:numPr>
        <w:ind w:right="31"/>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七、货款支付步骤和办法：</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rPr>
          <w:rFonts w:hint="eastAsia"/>
        </w:rPr>
      </w:pPr>
      <w:r>
        <w:rPr>
          <w:rFonts w:hint="eastAsia"/>
        </w:rPr>
      </w:r>
      <w:r/>
    </w:p>
    <w:p>
      <w:pPr>
        <w:pStyle w:val="63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pStyle w:val="630"/>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63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63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627"/>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630"/>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63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四、本协议一式二份，甲、乙双方各执一份。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639"/>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39"/>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2"/>
        <w:jc w:val="left"/>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1.投标（响应）报价低于采购项目预算50% 的，即投标（响应）报价&lt;采购项目预算×50% ；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2.投标（响应）报价低于采购项目最高限价45% 的，即投标（响应）报价&lt;采购项目最高限价×45% ； </w:t>
      </w:r>
      <w:r/>
    </w:p>
    <w:p>
      <w:pPr>
        <w:ind w:firstLine="480"/>
        <w:jc w:val="left"/>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3.评审委员会认定的供应商报价过低、有可能影响产品质量或者不能诚信履约的其他情形。 </w:t>
      </w:r>
      <w:r/>
    </w:p>
    <w:p>
      <w:pPr>
        <w:ind w:firstLine="480"/>
        <w:jc w:val="left"/>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sz w:val="24"/>
          <w:szCs w:val="24"/>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w:t>
      </w:r>
      <w:r>
        <w:rPr>
          <w:rFonts w:hint="eastAsia" w:ascii="宋体" w:hAnsi="宋体" w:eastAsia="宋体" w:cs="宋体"/>
          <w:color w:val="auto"/>
          <w:sz w:val="24"/>
          <w:szCs w:val="24"/>
          <w:lang w:val="en-US" w:eastAsia="zh-CN"/>
        </w:rPr>
        <w:t xml:space="preserve">将其作为无效投标（响应）处理。审查相关情况 应当在评审报告中进行记录。</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商务部分（35分）</w:t>
      </w:r>
      <w:r/>
    </w:p>
    <w:p>
      <w:pPr>
        <w:ind w:firstLine="482"/>
        <w:keepLines w:val="0"/>
        <w:keepNext w:val="0"/>
        <w:pageBreakBefore w:val="0"/>
        <w:spacing w:line="360" w:lineRule="auto"/>
        <w:widowControl w:val="off"/>
        <w:rPr>
          <w:rFonts w:hint="eastAsia" w:ascii="宋体" w:hAnsi="宋体" w:cs="宋体"/>
          <w:b w:val="0"/>
          <w:bCs w:val="0"/>
          <w:color w:val="auto"/>
          <w:sz w:val="24"/>
          <w:szCs w:val="24"/>
          <w:lang w:eastAsia="zh-CN"/>
        </w:rPr>
      </w:pPr>
      <w:r>
        <w:rPr>
          <w:rFonts w:hint="eastAsia" w:ascii="宋体" w:hAnsi="宋体" w:cs="宋体"/>
          <w:b/>
          <w:bCs/>
          <w:color w:val="auto"/>
          <w:sz w:val="24"/>
          <w:szCs w:val="24"/>
          <w:lang w:val="en-US" w:eastAsia="zh-CN"/>
        </w:rPr>
        <w:t xml:space="preserve">2.1</w:t>
      </w:r>
      <w:r>
        <w:rPr>
          <w:rFonts w:hint="eastAsia" w:ascii="宋体" w:hAnsi="宋体" w:eastAsia="宋体" w:cs="宋体"/>
          <w:b/>
          <w:bCs/>
          <w:color w:val="auto"/>
          <w:sz w:val="24"/>
          <w:szCs w:val="24"/>
        </w:rPr>
        <w:t xml:space="preserve">业绩：</w:t>
      </w:r>
      <w:r>
        <w:rPr>
          <w:rFonts w:hint="eastAsia" w:ascii="宋体" w:hAnsi="宋体" w:eastAsia="宋体" w:cs="宋体"/>
          <w:b w:val="0"/>
          <w:bCs w:val="0"/>
          <w:color w:val="auto"/>
          <w:sz w:val="24"/>
          <w:szCs w:val="24"/>
        </w:rPr>
        <w:t xml:space="preserve">供应商自202</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rPr>
        <w:t xml:space="preserve">年1月1日起承担过</w:t>
      </w:r>
      <w:r>
        <w:rPr>
          <w:rFonts w:hint="eastAsia" w:ascii="宋体" w:hAnsi="宋体" w:cs="宋体"/>
          <w:b w:val="0"/>
          <w:bCs w:val="0"/>
          <w:color w:val="auto"/>
          <w:sz w:val="24"/>
          <w:szCs w:val="24"/>
          <w:lang w:val="en-US" w:eastAsia="zh-CN"/>
        </w:rPr>
        <w:t xml:space="preserve">所投品牌</w:t>
      </w:r>
      <w:r>
        <w:rPr>
          <w:rFonts w:hint="eastAsia" w:ascii="宋体" w:hAnsi="宋体" w:eastAsia="宋体" w:cs="宋体"/>
          <w:b w:val="0"/>
          <w:bCs w:val="0"/>
          <w:color w:val="auto"/>
          <w:sz w:val="24"/>
          <w:szCs w:val="24"/>
        </w:rPr>
        <w:t xml:space="preserve">同类项目的</w:t>
      </w:r>
      <w:r>
        <w:rPr>
          <w:rFonts w:hint="eastAsia" w:ascii="宋体" w:hAnsi="宋体" w:cs="宋体"/>
          <w:b w:val="0"/>
          <w:bCs w:val="0"/>
          <w:color w:val="auto"/>
          <w:sz w:val="24"/>
          <w:szCs w:val="24"/>
          <w:lang w:val="en-US" w:eastAsia="zh-CN"/>
        </w:rPr>
        <w:t xml:space="preserve">业绩</w:t>
      </w:r>
      <w:r>
        <w:rPr>
          <w:rFonts w:hint="eastAsia" w:ascii="宋体" w:hAnsi="宋体" w:eastAsia="宋体" w:cs="宋体"/>
          <w:b w:val="0"/>
          <w:bCs w:val="0"/>
          <w:color w:val="auto"/>
          <w:sz w:val="24"/>
          <w:szCs w:val="24"/>
        </w:rPr>
        <w:t xml:space="preserve">（以合同签订日期为准），有一个得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分，最高得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29</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643"/>
        <w:tblW w:w="9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3656"/>
        <w:gridCol w:w="3093"/>
        <w:gridCol w:w="2132"/>
      </w:tblGrid>
      <w:tr>
        <w:trPr>
          <w:trHeight w:val="954"/>
        </w:trPr>
        <w:tc>
          <w:tcPr>
            <w:tcW w:w="757"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56"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采购需求性能要求</w:t>
            </w:r>
            <w:r/>
          </w:p>
        </w:tc>
        <w:tc>
          <w:tcPr>
            <w:tcW w:w="3093"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性能加分要求</w:t>
            </w:r>
            <w:r/>
          </w:p>
        </w:tc>
        <w:tc>
          <w:tcPr>
            <w:tcW w:w="2132" w:type="dxa"/>
            <w:textDirection w:val="lrTb"/>
            <w:noWrap w:val="false"/>
          </w:tcPr>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得分标准</w:t>
            </w:r>
            <w:r/>
          </w:p>
        </w:tc>
      </w:tr>
      <w:tr>
        <w:trPr>
          <w:trHeight w:val="1133"/>
        </w:trPr>
        <w:tc>
          <w:tcPr>
            <w:tcW w:w="75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56"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≥23英寸数字高分辨率专业影像级液晶显示器，屏幕大小为16:9宽屏格式，分辨率为≥1920 x 1080，多关节自由臂设计</w:t>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23英寸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液晶显示器＜24英寸</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yellow"/>
                <w:lang w:val="en-US" w:eastAsia="zh-CN"/>
              </w:rPr>
              <w:t xml:space="preserve">1</w:t>
            </w:r>
            <w:r>
              <w:rPr>
                <w:rFonts w:hint="eastAsia" w:ascii="宋体" w:hAnsi="宋体" w:eastAsia="宋体" w:cs="宋体"/>
                <w:color w:val="auto"/>
                <w:sz w:val="24"/>
                <w:szCs w:val="24"/>
                <w:highlight w:val="yellow"/>
              </w:rPr>
              <w:t xml:space="preserve">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液晶显示器≥24英寸</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c>
          <w:tcPr>
            <w:tcW w:w="2132"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1258"/>
        </w:trPr>
        <w:tc>
          <w:tcPr>
            <w:tcW w:w="757"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56"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探头扫描深度≥45cm</w:t>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45cm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探头扫描深度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50cm</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50cm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探头扫描深度＜55cm</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得2分；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探头扫描深度≥55cm</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rPr>
              <w:t xml:space="preserve">分</w:t>
            </w:r>
            <w:r>
              <w:rPr>
                <w:rFonts w:hint="eastAsia" w:ascii="宋体" w:hAnsi="宋体" w:eastAsia="宋体" w:cs="宋体"/>
                <w:color w:val="auto"/>
                <w:sz w:val="24"/>
                <w:szCs w:val="24"/>
                <w:highlight w:val="yellow"/>
                <w:lang w:eastAsia="zh-CN"/>
              </w:rPr>
              <w:t xml:space="preserve">。</w:t>
            </w:r>
            <w:r/>
          </w:p>
        </w:tc>
        <w:tc>
          <w:tcPr>
            <w:tcW w:w="2132"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1258"/>
        </w:trPr>
        <w:tc>
          <w:tcPr>
            <w:tcW w:w="75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36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数字化通道≥</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,000,000，全程动态聚焦发射声束，快速接收、处理海量数据，获得高容积帧图像</w:t>
            </w:r>
            <w:r>
              <w:rPr>
                <w:rFonts w:hint="eastAsia" w:ascii="宋体" w:hAnsi="宋体" w:eastAsia="宋体" w:cs="宋体"/>
                <w:color w:val="auto"/>
                <w:sz w:val="24"/>
                <w:szCs w:val="24"/>
                <w:highlight w:val="none"/>
                <w:lang w:eastAsia="zh-CN"/>
              </w:rPr>
              <w:t xml:space="preserve">。</w:t>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9,000,000＜数字化通道＜10,000,000</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10,000,000≤数字化通道＜11,000,000</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得2分；</w:t>
            </w:r>
            <w:r/>
          </w:p>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数字化通道≥11,000,000</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lang w:val="en-US" w:eastAsia="zh-CN"/>
              </w:rPr>
              <w:t xml:space="preserve">分</w:t>
            </w:r>
            <w:r>
              <w:rPr>
                <w:rFonts w:hint="eastAsia" w:ascii="宋体" w:hAnsi="宋体" w:cs="宋体"/>
                <w:color w:val="auto"/>
                <w:sz w:val="24"/>
                <w:szCs w:val="24"/>
                <w:highlight w:val="yellow"/>
                <w:lang w:val="en-US" w:eastAsia="zh-CN"/>
              </w:rPr>
              <w:t xml:space="preserve">。</w:t>
            </w:r>
            <w:r/>
          </w:p>
        </w:tc>
        <w:tc>
          <w:tcPr>
            <w:tcW w:w="2132" w:type="dxa"/>
            <w:vAlign w:val="center"/>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518"/>
        </w:trPr>
        <w:tc>
          <w:tcPr>
            <w:tcW w:w="75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3656"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系统动态范围≥350dB</w:t>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360dB</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系统动态范围＜3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0dB</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0dB</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系统动态范围＜3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0dB</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系统动态范围≥380dB</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rPr>
              <w:t xml:space="preserve">分</w:t>
            </w:r>
            <w:r>
              <w:rPr>
                <w:rFonts w:hint="eastAsia" w:ascii="宋体" w:hAnsi="宋体" w:eastAsia="宋体" w:cs="宋体"/>
                <w:color w:val="auto"/>
                <w:sz w:val="24"/>
                <w:szCs w:val="24"/>
                <w:highlight w:val="yellow"/>
                <w:lang w:eastAsia="zh-CN"/>
              </w:rPr>
              <w:t xml:space="preserve">。</w:t>
            </w:r>
            <w:r/>
          </w:p>
        </w:tc>
        <w:tc>
          <w:tcPr>
            <w:tcW w:w="2132"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1196"/>
        </w:trPr>
        <w:tc>
          <w:tcPr>
            <w:tcW w:w="75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3656"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血管增强技术，有效减少大血管及微细血管结构的噪声，提供更为清晰的血管壁定义和组织边界检测。有效增强深部血管和小血管管壁、管腔、血管内膜等结构的显示能力，可用于周围血管、浅表组织及胎心检查等，并支持≥3级可调</w:t>
            </w:r>
            <w:r/>
          </w:p>
        </w:tc>
        <w:tc>
          <w:tcPr>
            <w:shd w:val="clear" w:color="auto" w:fill="auto"/>
            <w:tcW w:w="3093" w:type="dxa"/>
            <w:vAlign w:val="top"/>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可支持</w:t>
            </w:r>
            <w:r>
              <w:rPr>
                <w:rFonts w:hint="eastAsia" w:ascii="宋体" w:hAnsi="宋体" w:eastAsia="宋体" w:cs="宋体"/>
                <w:color w:val="auto"/>
                <w:sz w:val="24"/>
                <w:szCs w:val="24"/>
                <w:highlight w:val="none"/>
              </w:rPr>
              <w:t xml:space="preserve">4级可调</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可支持≥</w:t>
            </w:r>
            <w:r>
              <w:rPr>
                <w:rFonts w:hint="eastAsia" w:ascii="宋体" w:hAnsi="宋体" w:eastAsia="宋体" w:cs="宋体"/>
                <w:color w:val="auto"/>
                <w:sz w:val="24"/>
                <w:szCs w:val="24"/>
                <w:highlight w:val="none"/>
              </w:rPr>
              <w:t xml:space="preserve">5级可调</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rPr>
              <w:t xml:space="preserve">分</w:t>
            </w:r>
            <w:r>
              <w:rPr>
                <w:rFonts w:hint="eastAsia" w:ascii="宋体" w:hAnsi="宋体" w:eastAsia="宋体" w:cs="宋体"/>
                <w:color w:val="auto"/>
                <w:sz w:val="24"/>
                <w:szCs w:val="24"/>
                <w:highlight w:val="yellow"/>
                <w:lang w:eastAsia="zh-CN"/>
              </w:rPr>
              <w:t xml:space="preserve">。</w:t>
            </w:r>
            <w:r/>
          </w:p>
        </w:tc>
        <w:tc>
          <w:tcPr>
            <w:tcW w:w="2132"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1196"/>
        </w:trPr>
        <w:tc>
          <w:tcPr>
            <w:tcW w:w="757"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6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彩色多普勒扫描速度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成人经胸四维心脏探头</w:t>
            </w:r>
            <w:r>
              <w:rPr>
                <w:rFonts w:hint="eastAsia" w:ascii="宋体" w:hAnsi="宋体" w:eastAsia="宋体" w:cs="宋体"/>
                <w:b w:val="0"/>
                <w:bCs/>
                <w:color w:val="auto"/>
                <w:sz w:val="24"/>
                <w:szCs w:val="24"/>
                <w:highlight w:val="none"/>
              </w:rPr>
              <w:t xml:space="preserve">：18cm，85°视角，帧速度≥</w:t>
            </w:r>
            <w:r>
              <w:rPr>
                <w:rFonts w:hint="eastAsia" w:ascii="宋体" w:hAnsi="宋体" w:eastAsia="宋体" w:cs="宋体"/>
                <w:b w:val="0"/>
                <w:bCs/>
                <w:color w:val="auto"/>
                <w:sz w:val="24"/>
                <w:szCs w:val="24"/>
                <w:highlight w:val="none"/>
                <w:lang w:val="en-US" w:eastAsia="zh-CN"/>
              </w:rPr>
              <w:t xml:space="preserve">55</w:t>
            </w:r>
            <w:r>
              <w:rPr>
                <w:rFonts w:hint="eastAsia" w:ascii="宋体" w:hAnsi="宋体" w:eastAsia="宋体" w:cs="宋体"/>
                <w:b w:val="0"/>
                <w:bCs/>
                <w:color w:val="auto"/>
                <w:sz w:val="24"/>
                <w:szCs w:val="24"/>
                <w:highlight w:val="none"/>
              </w:rPr>
              <w:t xml:space="preserve">帧/秒</w:t>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55</w:t>
            </w:r>
            <w:r>
              <w:rPr>
                <w:rFonts w:hint="eastAsia" w:ascii="宋体" w:hAnsi="宋体" w:eastAsia="宋体" w:cs="宋体"/>
                <w:b w:val="0"/>
                <w:bCs/>
                <w:color w:val="auto"/>
                <w:sz w:val="24"/>
                <w:szCs w:val="24"/>
                <w:highlight w:val="none"/>
              </w:rPr>
              <w:t xml:space="preserve">帧/秒</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帧速度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60</w:t>
            </w:r>
            <w:r>
              <w:rPr>
                <w:rFonts w:hint="eastAsia" w:ascii="宋体" w:hAnsi="宋体" w:eastAsia="宋体" w:cs="宋体"/>
                <w:b w:val="0"/>
                <w:bCs/>
                <w:color w:val="auto"/>
                <w:sz w:val="24"/>
                <w:szCs w:val="24"/>
                <w:highlight w:val="none"/>
              </w:rPr>
              <w:t xml:space="preserve">帧/秒</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60</w:t>
            </w:r>
            <w:r>
              <w:rPr>
                <w:rFonts w:hint="eastAsia" w:ascii="宋体" w:hAnsi="宋体" w:eastAsia="宋体" w:cs="宋体"/>
                <w:b w:val="0"/>
                <w:bCs/>
                <w:color w:val="auto"/>
                <w:sz w:val="24"/>
                <w:szCs w:val="24"/>
                <w:highlight w:val="none"/>
              </w:rPr>
              <w:t xml:space="preserve">帧/秒</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帧速度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帧/秒</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得2分；</w:t>
            </w:r>
            <w:r/>
          </w:p>
          <w:p>
            <w:pPr>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帧速度</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帧/秒</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lang w:val="en-US" w:eastAsia="zh-CN"/>
              </w:rPr>
              <w:t xml:space="preserve">分。</w:t>
            </w:r>
            <w:r/>
          </w:p>
        </w:tc>
        <w:tc>
          <w:tcPr>
            <w:tcW w:w="2132" w:type="dxa"/>
            <w:vAlign w:val="center"/>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952"/>
        </w:trPr>
        <w:tc>
          <w:tcPr>
            <w:tcW w:w="75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36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支持一键心腔容量或面积定量分析</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可以实现一键心室</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心房分析</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1分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可以实现一键三心腔分析</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得2分</w:t>
            </w:r>
            <w:r>
              <w:rPr>
                <w:rFonts w:hint="eastAsia" w:ascii="宋体" w:hAnsi="宋体" w:eastAsia="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可以实现一键四心腔分析</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rPr>
              <w:t xml:space="preserve">分</w:t>
            </w:r>
            <w:r>
              <w:rPr>
                <w:rFonts w:hint="eastAsia" w:ascii="宋体" w:hAnsi="宋体" w:eastAsia="宋体" w:cs="宋体"/>
                <w:color w:val="auto"/>
                <w:sz w:val="24"/>
                <w:szCs w:val="24"/>
                <w:highlight w:val="yellow"/>
                <w:lang w:eastAsia="zh-CN"/>
              </w:rPr>
              <w:t xml:space="preserve">。</w:t>
            </w:r>
            <w:r/>
          </w:p>
        </w:tc>
        <w:tc>
          <w:tcPr>
            <w:tcW w:w="2132"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952"/>
        </w:trPr>
        <w:tc>
          <w:tcPr>
            <w:tcW w:w="75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3656"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自动识别心腔切面并分析（全自动识别左心室切面并追踪，快速获得左心室整体应变值、左心室节段应变值、左心室长径值、左心室应变牛眼图和达峰时间牛眼图；全自动识别追踪左心房切面，快速获取左心房储备功能、管道功能、收缩功能应变值及曲线</w:t>
            </w:r>
            <w:r>
              <w:rPr>
                <w:rFonts w:hint="eastAsia" w:ascii="宋体" w:hAnsi="宋体" w:eastAsia="宋体" w:cs="宋体"/>
                <w:color w:val="auto"/>
                <w:sz w:val="24"/>
                <w:szCs w:val="24"/>
                <w:highlight w:val="none"/>
                <w:lang w:eastAsia="zh-CN"/>
              </w:rPr>
              <w:t xml:space="preserve">）</w:t>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全自动识别追踪右心室切面，快速获取右心室四腔和游离壁整体应变值</w:t>
            </w:r>
            <w:r>
              <w:rPr>
                <w:rFonts w:hint="eastAsia" w:ascii="宋体" w:hAnsi="宋体" w:eastAsia="宋体" w:cs="宋体"/>
                <w:color w:val="auto"/>
                <w:sz w:val="24"/>
                <w:szCs w:val="24"/>
                <w:highlight w:val="none"/>
                <w:lang w:val="en-US" w:eastAsia="zh-CN"/>
              </w:rPr>
              <w:t xml:space="preserve">分析，</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具有</w:t>
            </w:r>
            <w:r>
              <w:rPr>
                <w:rFonts w:hint="eastAsia" w:ascii="宋体" w:hAnsi="宋体" w:eastAsia="宋体" w:cs="宋体"/>
                <w:color w:val="auto"/>
                <w:sz w:val="24"/>
                <w:szCs w:val="24"/>
                <w:highlight w:val="none"/>
              </w:rPr>
              <w:t xml:space="preserve">全自动识别追踪右心室切面，快速获取右心室四腔和游离壁整体应变值</w:t>
            </w:r>
            <w:r>
              <w:rPr>
                <w:rFonts w:hint="eastAsia" w:ascii="宋体" w:hAnsi="宋体" w:eastAsia="宋体" w:cs="宋体"/>
                <w:color w:val="auto"/>
                <w:sz w:val="24"/>
                <w:szCs w:val="24"/>
                <w:highlight w:val="none"/>
                <w:lang w:val="en-US" w:eastAsia="zh-CN"/>
              </w:rPr>
              <w:t xml:space="preserve">分析</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同时具有</w:t>
            </w:r>
            <w:r>
              <w:rPr>
                <w:rFonts w:hint="eastAsia" w:ascii="宋体" w:hAnsi="宋体" w:eastAsia="宋体" w:cs="宋体"/>
                <w:color w:val="auto"/>
                <w:sz w:val="24"/>
                <w:szCs w:val="24"/>
                <w:highlight w:val="none"/>
              </w:rPr>
              <w:t xml:space="preserve">全自动识别追踪右心房切面，快速获取右心房应变</w:t>
            </w:r>
            <w:r>
              <w:rPr>
                <w:rFonts w:hint="eastAsia" w:ascii="宋体" w:hAnsi="宋体" w:eastAsia="宋体" w:cs="宋体"/>
                <w:color w:val="auto"/>
                <w:sz w:val="24"/>
                <w:szCs w:val="24"/>
                <w:highlight w:val="none"/>
                <w:lang w:val="en-US" w:eastAsia="zh-CN"/>
              </w:rPr>
              <w:t xml:space="preserve">分析，</w:t>
            </w:r>
            <w:r>
              <w:rPr>
                <w:rFonts w:hint="eastAsia" w:ascii="宋体" w:hAnsi="宋体" w:eastAsia="宋体" w:cs="宋体"/>
                <w:color w:val="auto"/>
                <w:sz w:val="24"/>
                <w:szCs w:val="24"/>
                <w:highlight w:val="yellow"/>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rPr>
              <w:t xml:space="preserve">分</w:t>
            </w:r>
            <w:r>
              <w:rPr>
                <w:rFonts w:hint="eastAsia" w:ascii="宋体" w:hAnsi="宋体" w:eastAsia="宋体" w:cs="宋体"/>
                <w:color w:val="auto"/>
                <w:sz w:val="24"/>
                <w:szCs w:val="24"/>
                <w:highlight w:val="yellow"/>
                <w:lang w:eastAsia="zh-CN"/>
              </w:rPr>
              <w:t xml:space="preserve">。</w:t>
            </w:r>
            <w:r/>
          </w:p>
        </w:tc>
        <w:tc>
          <w:tcPr>
            <w:tcW w:w="2132"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952"/>
        </w:trPr>
        <w:tc>
          <w:tcPr>
            <w:tcW w:w="757" w:type="dxa"/>
            <w:vAlign w:val="center"/>
            <w:textDirection w:val="lrTb"/>
            <w:noWrap w:val="false"/>
          </w:tcPr>
          <w:p>
            <w:pPr>
              <w:jc w:val="left"/>
              <w:tabs>
                <w:tab w:val="left" w:pos="25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val="en-US" w:eastAsia="zh-CN"/>
              </w:rPr>
              <w:t xml:space="preserve">9</w:t>
            </w:r>
            <w:r/>
          </w:p>
        </w:tc>
        <w:tc>
          <w:tcPr>
            <w:tcW w:w="365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支持心腔超声造影功能</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支持心腔内造影，同时支持应变功能在机分析</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得</w:t>
            </w:r>
            <w:r>
              <w:rPr>
                <w:rFonts w:hint="eastAsia" w:ascii="宋体" w:hAnsi="宋体" w:cs="宋体"/>
                <w:color w:val="auto"/>
                <w:sz w:val="24"/>
                <w:szCs w:val="24"/>
                <w:highlight w:val="yellow"/>
                <w:lang w:val="en-US" w:eastAsia="zh-CN" w:bidi="ar-SA"/>
              </w:rPr>
              <w:t xml:space="preserve">2</w:t>
            </w:r>
            <w:r>
              <w:rPr>
                <w:rFonts w:hint="eastAsia" w:ascii="宋体" w:hAnsi="宋体" w:eastAsia="宋体" w:cs="宋体"/>
                <w:color w:val="auto"/>
                <w:sz w:val="24"/>
                <w:szCs w:val="24"/>
                <w:highlight w:val="yellow"/>
                <w:lang w:val="en-US" w:eastAsia="zh-CN" w:bidi="ar-SA"/>
              </w:rPr>
              <w:t xml:space="preserve">分。</w:t>
            </w:r>
            <w:r/>
          </w:p>
        </w:tc>
        <w:tc>
          <w:tcPr>
            <w:tcW w:w="2132"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r>
        <w:trPr>
          <w:trHeight w:val="952"/>
        </w:trPr>
        <w:tc>
          <w:tcPr>
            <w:tcW w:w="757" w:type="dxa"/>
            <w:vAlign w:val="center"/>
            <w:textDirection w:val="lrTb"/>
            <w:noWrap w:val="false"/>
          </w:tcPr>
          <w:p>
            <w:pPr>
              <w:jc w:val="center"/>
              <w:tabs>
                <w:tab w:val="left" w:pos="255"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3656" w:type="dxa"/>
            <w:vAlign w:val="center"/>
            <w:textDirection w:val="lrTb"/>
            <w:noWrap w:val="false"/>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内置硬盘≥1000GB</w:t>
            </w:r>
            <w:r/>
          </w:p>
        </w:tc>
        <w:tc>
          <w:tcPr>
            <w:shd w:val="clear" w:color="auto" w:fill="auto"/>
            <w:tcW w:w="3093"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1200GB≤内置硬盘＜1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00GB</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00GB≤内置硬盘＜1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00GB</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得2分；</w:t>
            </w:r>
            <w:r/>
          </w:p>
          <w:p>
            <w:pP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内置硬盘≥1500GB</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yellow"/>
                <w:lang w:val="en-US" w:eastAsia="zh-CN"/>
              </w:rPr>
              <w:t xml:space="preserve">3</w:t>
            </w:r>
            <w:r>
              <w:rPr>
                <w:rFonts w:hint="eastAsia" w:ascii="宋体" w:hAnsi="宋体" w:eastAsia="宋体" w:cs="宋体"/>
                <w:color w:val="auto"/>
                <w:sz w:val="24"/>
                <w:szCs w:val="24"/>
                <w:highlight w:val="yellow"/>
                <w:lang w:val="en-US" w:eastAsia="zh-CN"/>
              </w:rPr>
              <w:t xml:space="preserve">分。</w:t>
            </w:r>
            <w:r/>
          </w:p>
        </w:tc>
        <w:tc>
          <w:tcPr>
            <w:tcW w:w="2132" w:type="dxa"/>
            <w:vAlign w:val="center"/>
            <w:textDirection w:val="lrTb"/>
            <w:noWrap w:val="false"/>
          </w:tcPr>
          <w:p>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满足</w:t>
            </w:r>
            <w:r>
              <w:rPr>
                <w:rFonts w:hint="eastAsia" w:ascii="宋体" w:hAnsi="宋体" w:eastAsia="宋体" w:cs="宋体"/>
                <w:color w:val="auto"/>
                <w:sz w:val="24"/>
                <w:szCs w:val="24"/>
                <w:highlight w:val="none"/>
                <w:lang w:val="en-US" w:eastAsia="zh-CN" w:bidi="ar"/>
              </w:rPr>
              <w:t xml:space="preserve">性能加分要求对应标准的</w:t>
            </w:r>
            <w:r>
              <w:rPr>
                <w:rFonts w:hint="eastAsia" w:ascii="宋体" w:hAnsi="宋体" w:eastAsia="宋体" w:cs="宋体"/>
                <w:color w:val="auto"/>
                <w:sz w:val="24"/>
                <w:szCs w:val="24"/>
                <w:highlight w:val="none"/>
                <w:lang w:bidi="ar"/>
              </w:rPr>
              <w:t xml:space="preserve">得</w:t>
            </w:r>
            <w:r>
              <w:rPr>
                <w:rFonts w:hint="eastAsia" w:ascii="宋体" w:hAnsi="宋体" w:eastAsia="宋体" w:cs="宋体"/>
                <w:color w:val="auto"/>
                <w:sz w:val="24"/>
                <w:szCs w:val="24"/>
                <w:highlight w:val="none"/>
                <w:lang w:val="en-US" w:eastAsia="zh-CN" w:bidi="ar"/>
              </w:rPr>
              <w:t xml:space="preserve">相应分值</w:t>
            </w:r>
            <w:r>
              <w:rPr>
                <w:rFonts w:hint="eastAsia" w:ascii="宋体" w:hAnsi="宋体" w:eastAsia="宋体" w:cs="宋体"/>
                <w:color w:val="auto"/>
                <w:sz w:val="24"/>
                <w:szCs w:val="24"/>
                <w:highlight w:val="none"/>
                <w:lang w:bidi="ar"/>
              </w:rPr>
              <w:t xml:space="preserve">，不</w:t>
            </w:r>
            <w:r>
              <w:rPr>
                <w:rFonts w:hint="eastAsia" w:ascii="宋体" w:hAnsi="宋体" w:eastAsia="宋体" w:cs="宋体"/>
                <w:color w:val="auto"/>
                <w:sz w:val="24"/>
                <w:szCs w:val="24"/>
                <w:highlight w:val="none"/>
                <w:lang w:val="en-US" w:eastAsia="zh-CN" w:bidi="ar"/>
              </w:rPr>
              <w:t xml:space="preserve">符合性能加分要求的不得分</w:t>
            </w:r>
            <w:r>
              <w:rPr>
                <w:rFonts w:hint="eastAsia" w:ascii="宋体" w:hAnsi="宋体" w:eastAsia="宋体" w:cs="宋体"/>
                <w:color w:val="auto"/>
                <w:sz w:val="24"/>
                <w:szCs w:val="24"/>
                <w:highlight w:val="none"/>
                <w:lang w:bidi="ar"/>
              </w:rPr>
              <w:t xml:space="preserve">。</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eastAsia="宋体" w:cs="宋体"/>
          <w:b/>
          <w:bCs/>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0"/>
      </w:pPr>
      <w:r>
        <w:rPr>
          <w:rFonts w:hint="eastAsia" w:ascii="宋体" w:hAnsi="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cs="宋体"/>
          <w:b w:val="0"/>
          <w:bCs w:val="0"/>
          <w:color w:val="000000"/>
          <w:sz w:val="24"/>
          <w:szCs w:val="24"/>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0"/>
      </w:pPr>
      <w:r>
        <w:rPr>
          <w:rFonts w:hint="eastAsia" w:ascii="宋体" w:hAnsi="宋体" w:eastAsia="宋体" w:cs="宋体"/>
          <w:b/>
          <w:bCs/>
          <w:color w:val="auto"/>
          <w:sz w:val="24"/>
          <w:szCs w:val="24"/>
          <w:lang w:val="en-US" w:eastAsia="zh-CN" w:bidi="ar-SA"/>
        </w:rPr>
        <w:t xml:space="preserve">三、技术部分</w:t>
      </w:r>
      <w:r>
        <w:rPr>
          <w:rFonts w:hint="eastAsia" w:ascii="宋体" w:hAnsi="宋体" w:cs="宋体"/>
          <w:b/>
          <w:bCs/>
          <w:color w:val="auto"/>
          <w:sz w:val="24"/>
          <w:szCs w:val="24"/>
          <w:highlight w:val="yellow"/>
          <w:lang w:val="en-US" w:eastAsia="zh-CN" w:bidi="ar-SA"/>
        </w:rPr>
        <w:t xml:space="preserve">（30分）</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cs="Times New Roman"/>
          <w:b/>
          <w:bCs/>
          <w:sz w:val="24"/>
          <w:szCs w:val="24"/>
          <w:highlight w:val="yellow"/>
          <w:lang w:val="en-US" w:eastAsia="zh-CN"/>
        </w:rPr>
        <w:t xml:space="preserve">12</w:t>
      </w:r>
      <w:r>
        <w:rPr>
          <w:rFonts w:hint="eastAsia" w:ascii="宋体" w:hAnsi="宋体" w:eastAsia="宋体" w:cs="Times New Roman"/>
          <w:b/>
          <w:bCs/>
          <w:sz w:val="24"/>
          <w:szCs w:val="24"/>
          <w:highlight w:val="yellow"/>
        </w:rPr>
        <w:t xml:space="preserve">分</w:t>
      </w:r>
      <w:r>
        <w:rPr>
          <w:rFonts w:hint="eastAsia" w:ascii="宋体" w:hAnsi="宋体" w:eastAsia="宋体" w:cs="Times New Roman"/>
          <w:b/>
          <w:bCs/>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yellow"/>
        </w:rPr>
      </w:pPr>
      <w:r>
        <w:rPr>
          <w:rFonts w:hint="eastAsia" w:ascii="宋体" w:hAnsi="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yellow"/>
        </w:rPr>
        <w:t xml:space="preserve">（</w:t>
      </w:r>
      <w:r>
        <w:rPr>
          <w:rFonts w:hint="eastAsia" w:ascii="宋体" w:hAnsi="宋体" w:cs="Times New Roman"/>
          <w:b/>
          <w:bCs/>
          <w:sz w:val="24"/>
          <w:szCs w:val="24"/>
          <w:highlight w:val="yellow"/>
          <w:lang w:val="en-US" w:eastAsia="zh-CN"/>
        </w:rPr>
        <w:t xml:space="preserve">12</w:t>
      </w:r>
      <w:r>
        <w:rPr>
          <w:rFonts w:hint="eastAsia" w:ascii="宋体" w:hAnsi="宋体" w:eastAsia="宋体" w:cs="Times New Roman"/>
          <w:b/>
          <w:bCs/>
          <w:sz w:val="24"/>
          <w:szCs w:val="24"/>
          <w:highlight w:val="yellow"/>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cs="Times New Roman"/>
          <w:b/>
          <w:bCs/>
          <w:sz w:val="24"/>
          <w:szCs w:val="24"/>
          <w:highlight w:val="none"/>
          <w:lang w:val="en-US" w:eastAsia="zh-CN"/>
        </w:rPr>
        <w:t xml:space="preserve">3.3</w:t>
      </w:r>
      <w:r>
        <w:rPr>
          <w:rFonts w:hint="eastAsia" w:ascii="宋体" w:hAnsi="宋体" w:eastAsia="宋体" w:cs="Times New Roman"/>
          <w:b/>
          <w:bCs/>
          <w:sz w:val="24"/>
          <w:szCs w:val="24"/>
          <w:highlight w:val="none"/>
          <w:lang w:val="en-US" w:eastAsia="zh-CN"/>
        </w:rPr>
        <w:t xml:space="preserve">培训方案</w:t>
      </w:r>
      <w:r>
        <w:rPr>
          <w:rFonts w:hint="eastAsia" w:ascii="宋体" w:hAnsi="宋体" w:eastAsia="宋体" w:cs="Times New Roman"/>
          <w:b/>
          <w:bCs/>
          <w:sz w:val="24"/>
          <w:szCs w:val="24"/>
          <w:highlight w:val="none"/>
          <w:lang w:eastAsia="zh-CN"/>
        </w:rPr>
        <w:t xml:space="preserve">（</w:t>
      </w:r>
      <w:r>
        <w:rPr>
          <w:rFonts w:hint="eastAsia" w:ascii="宋体" w:hAnsi="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pStyle w:val="630"/>
        <w:rPr>
          <w:rFonts w:ascii="宋体" w:hAnsi="宋体"/>
          <w:b/>
          <w:bCs/>
          <w:sz w:val="24"/>
          <w:szCs w:val="24"/>
        </w:rPr>
      </w:pPr>
      <w:r>
        <w:rPr>
          <w:rFonts w:ascii="宋体" w:hAnsi="宋体"/>
          <w:b/>
          <w:bCs/>
          <w:sz w:val="24"/>
          <w:szCs w:val="24"/>
        </w:rPr>
      </w:r>
      <w:r/>
    </w:p>
    <w:p>
      <w:pPr>
        <w:pStyle w:val="630"/>
        <w:rPr>
          <w:rFonts w:ascii="宋体" w:hAnsi="宋体"/>
          <w:b/>
          <w:bCs/>
          <w:sz w:val="24"/>
          <w:szCs w:val="24"/>
        </w:rPr>
      </w:pPr>
      <w:r>
        <w:rPr>
          <w:rFonts w:ascii="宋体" w:hAnsi="宋体"/>
          <w:b/>
          <w:bCs/>
          <w:sz w:val="24"/>
          <w:szCs w:val="24"/>
        </w:rPr>
      </w:r>
      <w:r/>
    </w:p>
    <w:p>
      <w:pPr>
        <w:pStyle w:val="630"/>
        <w:rPr>
          <w:rFonts w:ascii="宋体" w:hAnsi="宋体"/>
          <w:b/>
          <w:bCs/>
          <w:sz w:val="24"/>
          <w:szCs w:val="24"/>
        </w:rPr>
      </w:pPr>
      <w:r>
        <w:rPr>
          <w:rFonts w:ascii="宋体" w:hAnsi="宋体"/>
          <w:b/>
          <w:bCs/>
          <w:sz w:val="24"/>
          <w:szCs w:val="24"/>
        </w:rPr>
      </w:r>
      <w:r/>
    </w:p>
    <w:p>
      <w:pPr>
        <w:pStyle w:val="630"/>
        <w:rPr>
          <w:rFonts w:ascii="宋体" w:hAnsi="宋体"/>
          <w:b/>
          <w:bCs/>
          <w:sz w:val="24"/>
          <w:szCs w:val="24"/>
        </w:rPr>
      </w:pPr>
      <w:r>
        <w:rPr>
          <w:rFonts w:ascii="宋体" w:hAnsi="宋体"/>
          <w:b/>
          <w:bCs/>
          <w:sz w:val="24"/>
          <w:szCs w:val="24"/>
        </w:rPr>
      </w:r>
      <w:r/>
    </w:p>
    <w:p>
      <w:pPr>
        <w:pStyle w:val="630"/>
        <w:rPr>
          <w:rFonts w:ascii="宋体" w:hAnsi="宋体"/>
          <w:b/>
          <w:bCs/>
          <w:sz w:val="24"/>
          <w:szCs w:val="24"/>
        </w:rPr>
      </w:pPr>
      <w:r>
        <w:rPr>
          <w:rFonts w:ascii="宋体" w:hAnsi="宋体"/>
          <w:b/>
          <w:bCs/>
          <w:sz w:val="24"/>
          <w:szCs w:val="24"/>
        </w:rPr>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641"/>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64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64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641"/>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641"/>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64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64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630"/>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630"/>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634"/>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647"/>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ind w:left="0" w:firstLine="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 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6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634"/>
        <w:ind w:left="1260"/>
      </w:pPr>
      <w:r/>
      <w:r/>
    </w:p>
    <w:p>
      <w:r/>
      <w:r/>
    </w:p>
    <w:p>
      <w:pPr>
        <w:pStyle w:val="634"/>
        <w:ind w:left="1260"/>
      </w:pPr>
      <w:r/>
      <w:r/>
    </w:p>
    <w:p>
      <w:r/>
      <w:r/>
    </w:p>
    <w:p>
      <w:pPr>
        <w:pStyle w:val="634"/>
        <w:ind w:left="1260"/>
      </w:pPr>
      <w:r/>
      <w:r/>
    </w:p>
    <w:p>
      <w:r/>
      <w:r/>
    </w:p>
    <w:p>
      <w:pPr>
        <w:pStyle w:val="634"/>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rPr>
          <w:rFonts w:eastAsia="黑体"/>
          <w:bCs/>
          <w:sz w:val="28"/>
          <w:szCs w:val="28"/>
        </w:rPr>
        <w:outlineLvl w:val="0"/>
      </w:pPr>
      <w:r>
        <w:rPr>
          <w:rFonts w:eastAsia="黑体"/>
          <w:bCs/>
          <w:sz w:val="28"/>
          <w:szCs w:val="28"/>
        </w:rPr>
      </w:r>
      <w:r/>
    </w:p>
    <w:p>
      <w:pPr>
        <w:pStyle w:val="634"/>
        <w:ind w:left="1260"/>
      </w:pPr>
      <w:r/>
      <w:r/>
    </w:p>
    <w:p>
      <w:r/>
      <w:r/>
    </w:p>
    <w:p>
      <w:pPr>
        <w:pStyle w:val="634"/>
        <w:ind w:left="1260"/>
      </w:pPr>
      <w:r/>
      <w:r/>
    </w:p>
    <w:p>
      <w:r/>
      <w:r/>
    </w:p>
    <w:p>
      <w:pPr>
        <w:pStyle w:val="634"/>
        <w:ind w:left="1260"/>
      </w:pPr>
      <w:r/>
      <w:r/>
    </w:p>
    <w:p>
      <w:r/>
      <w:r/>
    </w:p>
    <w:p>
      <w:pPr>
        <w:spacing w:line="360" w:lineRule="auto"/>
        <w:rPr>
          <w:rFonts w:hint="eastAsia" w:eastAsia="宋体"/>
          <w:bCs/>
          <w:sz w:val="24"/>
          <w:szCs w:val="24"/>
          <w:lang w:eastAsia="zh-CN"/>
        </w:rPr>
      </w:pP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630"/>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627"/>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eastAsia="宋体"/>
                <w:sz w:val="24"/>
                <w:szCs w:val="24"/>
                <w:lang w:val="en-US" w:eastAsia="zh-CN"/>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647"/>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62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649"/>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(三）其他说明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630"/>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627"/>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625"/>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62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28"/>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4</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28"/>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28"/>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628"/>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2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2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pPr>
      <w:r>
        <w:rPr>
          <w:sz w:val="36"/>
        </w:rPr>
        <w:br w:type="page" w:clear="all"/>
      </w:r>
      <w:bookmarkStart w:id="10" w:name="OLE_LINK13"/>
      <w:r/>
      <w:bookmarkStart w:id="11" w:name="OLE_LINK14"/>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bookmarkEnd w:id="11"/>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p>
    <w:p>
      <w:pPr>
        <w:pStyle w:val="647"/>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pStyle w:val="647"/>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630"/>
      </w:pPr>
      <w:r/>
      <w:r/>
    </w:p>
    <w:p>
      <w:pPr>
        <w:pStyle w:val="647"/>
        <w:ind w:firstLine="0"/>
        <w:rPr>
          <w:rFonts w:hint="eastAsia"/>
        </w:rPr>
      </w:pPr>
      <w:r>
        <w:rPr>
          <w:rFonts w:hint="eastAsia"/>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Courier New">
    <w:panose1 w:val="02070309020205020404"/>
  </w:font>
  <w:font w:name="Calibri">
    <w:panose1 w:val="020F0502020204030204"/>
  </w:font>
  <w:font w:name="文鼎小标宋简">
    <w:panose1 w:val="020B05030202020202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6"/>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0"/>
  </w:num>
  <w:num w:numId="2">
    <w:abstractNumId w:val="2"/>
  </w:num>
  <w:num w:numId="3">
    <w:abstractNumId w:val="1"/>
    <w:lvlOverride w:ilvl="0">
      <w:startOverride w:val="1"/>
    </w:lvlOverride>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4"/>
    <w:next w:val="62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26"/>
    <w:link w:val="12"/>
    <w:uiPriority w:val="9"/>
    <w:rPr>
      <w:rFonts w:ascii="Arial" w:hAnsi="Arial" w:eastAsia="Arial" w:cs="Arial"/>
      <w:sz w:val="40"/>
      <w:szCs w:val="40"/>
    </w:rPr>
  </w:style>
  <w:style w:type="paragraph" w:styleId="14">
    <w:name w:val="Heading 2"/>
    <w:basedOn w:val="624"/>
    <w:next w:val="62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26"/>
    <w:link w:val="14"/>
    <w:uiPriority w:val="9"/>
    <w:rPr>
      <w:rFonts w:ascii="Arial" w:hAnsi="Arial" w:eastAsia="Arial" w:cs="Arial"/>
      <w:sz w:val="34"/>
    </w:rPr>
  </w:style>
  <w:style w:type="character" w:styleId="17">
    <w:name w:val="Heading 3 Char"/>
    <w:basedOn w:val="626"/>
    <w:link w:val="625"/>
    <w:uiPriority w:val="9"/>
    <w:rPr>
      <w:rFonts w:ascii="Arial" w:hAnsi="Arial" w:eastAsia="Arial" w:cs="Arial"/>
      <w:sz w:val="30"/>
      <w:szCs w:val="30"/>
    </w:rPr>
  </w:style>
  <w:style w:type="paragraph" w:styleId="18">
    <w:name w:val="Heading 4"/>
    <w:basedOn w:val="624"/>
    <w:next w:val="62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26"/>
    <w:link w:val="18"/>
    <w:uiPriority w:val="9"/>
    <w:rPr>
      <w:rFonts w:ascii="Arial" w:hAnsi="Arial" w:eastAsia="Arial" w:cs="Arial"/>
      <w:b/>
      <w:bCs/>
      <w:sz w:val="26"/>
      <w:szCs w:val="26"/>
    </w:rPr>
  </w:style>
  <w:style w:type="paragraph" w:styleId="20">
    <w:name w:val="Heading 5"/>
    <w:basedOn w:val="624"/>
    <w:next w:val="62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26"/>
    <w:link w:val="20"/>
    <w:uiPriority w:val="9"/>
    <w:rPr>
      <w:rFonts w:ascii="Arial" w:hAnsi="Arial" w:eastAsia="Arial" w:cs="Arial"/>
      <w:b/>
      <w:bCs/>
      <w:sz w:val="24"/>
      <w:szCs w:val="24"/>
    </w:rPr>
  </w:style>
  <w:style w:type="paragraph" w:styleId="22">
    <w:name w:val="Heading 6"/>
    <w:basedOn w:val="624"/>
    <w:next w:val="62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26"/>
    <w:link w:val="22"/>
    <w:uiPriority w:val="9"/>
    <w:rPr>
      <w:rFonts w:ascii="Arial" w:hAnsi="Arial" w:eastAsia="Arial" w:cs="Arial"/>
      <w:b/>
      <w:bCs/>
      <w:sz w:val="22"/>
      <w:szCs w:val="22"/>
    </w:rPr>
  </w:style>
  <w:style w:type="paragraph" w:styleId="24">
    <w:name w:val="Heading 7"/>
    <w:basedOn w:val="624"/>
    <w:next w:val="62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26"/>
    <w:link w:val="24"/>
    <w:uiPriority w:val="9"/>
    <w:rPr>
      <w:rFonts w:ascii="Arial" w:hAnsi="Arial" w:eastAsia="Arial" w:cs="Arial"/>
      <w:b/>
      <w:bCs/>
      <w:i/>
      <w:iCs/>
      <w:sz w:val="22"/>
      <w:szCs w:val="22"/>
    </w:rPr>
  </w:style>
  <w:style w:type="paragraph" w:styleId="26">
    <w:name w:val="Heading 8"/>
    <w:basedOn w:val="624"/>
    <w:next w:val="62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26"/>
    <w:link w:val="26"/>
    <w:uiPriority w:val="9"/>
    <w:rPr>
      <w:rFonts w:ascii="Arial" w:hAnsi="Arial" w:eastAsia="Arial" w:cs="Arial"/>
      <w:i/>
      <w:iCs/>
      <w:sz w:val="22"/>
      <w:szCs w:val="22"/>
    </w:rPr>
  </w:style>
  <w:style w:type="paragraph" w:styleId="28">
    <w:name w:val="Heading 9"/>
    <w:basedOn w:val="624"/>
    <w:next w:val="62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2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4"/>
    <w:next w:val="624"/>
    <w:link w:val="34"/>
    <w:uiPriority w:val="10"/>
    <w:qFormat/>
    <w:pPr>
      <w:contextualSpacing/>
      <w:spacing w:before="300" w:after="200"/>
    </w:pPr>
    <w:rPr>
      <w:sz w:val="48"/>
      <w:szCs w:val="48"/>
    </w:rPr>
  </w:style>
  <w:style w:type="character" w:styleId="34">
    <w:name w:val="Title Char"/>
    <w:basedOn w:val="626"/>
    <w:link w:val="33"/>
    <w:uiPriority w:val="10"/>
    <w:rPr>
      <w:sz w:val="48"/>
      <w:szCs w:val="48"/>
    </w:rPr>
  </w:style>
  <w:style w:type="paragraph" w:styleId="35">
    <w:name w:val="Subtitle"/>
    <w:basedOn w:val="624"/>
    <w:next w:val="624"/>
    <w:link w:val="36"/>
    <w:uiPriority w:val="11"/>
    <w:qFormat/>
    <w:pPr>
      <w:spacing w:before="200" w:after="200"/>
    </w:pPr>
    <w:rPr>
      <w:sz w:val="24"/>
      <w:szCs w:val="24"/>
    </w:rPr>
  </w:style>
  <w:style w:type="character" w:styleId="36">
    <w:name w:val="Subtitle Char"/>
    <w:basedOn w:val="626"/>
    <w:link w:val="35"/>
    <w:uiPriority w:val="11"/>
    <w:rPr>
      <w:sz w:val="24"/>
      <w:szCs w:val="24"/>
    </w:rPr>
  </w:style>
  <w:style w:type="paragraph" w:styleId="37">
    <w:name w:val="Quote"/>
    <w:basedOn w:val="624"/>
    <w:next w:val="624"/>
    <w:link w:val="38"/>
    <w:uiPriority w:val="29"/>
    <w:qFormat/>
    <w:pPr>
      <w:ind w:left="720" w:right="720"/>
    </w:pPr>
    <w:rPr>
      <w:i/>
    </w:rPr>
  </w:style>
  <w:style w:type="character" w:styleId="38">
    <w:name w:val="Quote Char"/>
    <w:link w:val="37"/>
    <w:uiPriority w:val="29"/>
    <w:rPr>
      <w:i/>
    </w:rPr>
  </w:style>
  <w:style w:type="paragraph" w:styleId="39">
    <w:name w:val="Intense Quote"/>
    <w:basedOn w:val="624"/>
    <w:next w:val="62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6"/>
    <w:link w:val="637"/>
    <w:uiPriority w:val="99"/>
  </w:style>
  <w:style w:type="character" w:styleId="44">
    <w:name w:val="Footer Char"/>
    <w:basedOn w:val="626"/>
    <w:link w:val="636"/>
    <w:uiPriority w:val="99"/>
  </w:style>
  <w:style w:type="paragraph" w:styleId="45">
    <w:name w:val="Caption"/>
    <w:basedOn w:val="624"/>
    <w:next w:val="624"/>
    <w:uiPriority w:val="35"/>
    <w:semiHidden/>
    <w:unhideWhenUsed/>
    <w:qFormat/>
    <w:pPr>
      <w:spacing w:line="276" w:lineRule="auto"/>
    </w:pPr>
    <w:rPr>
      <w:b/>
      <w:bCs/>
      <w:color w:val="4f81bd" w:themeColor="accent1"/>
      <w:sz w:val="18"/>
      <w:szCs w:val="18"/>
    </w:rPr>
  </w:style>
  <w:style w:type="character" w:styleId="46">
    <w:name w:val="Caption Char"/>
    <w:basedOn w:val="45"/>
    <w:link w:val="636"/>
    <w:uiPriority w:val="99"/>
  </w:style>
  <w:style w:type="table" w:styleId="48">
    <w:name w:val="Table Grid Light"/>
    <w:basedOn w:val="6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2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6"/>
    <w:uiPriority w:val="99"/>
    <w:unhideWhenUsed/>
    <w:rPr>
      <w:vertAlign w:val="superscript"/>
    </w:rPr>
  </w:style>
  <w:style w:type="paragraph" w:styleId="177">
    <w:name w:val="endnote text"/>
    <w:basedOn w:val="62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6"/>
    <w:uiPriority w:val="99"/>
    <w:semiHidden/>
    <w:unhideWhenUsed/>
    <w:rPr>
      <w:vertAlign w:val="superscript"/>
    </w:rPr>
  </w:style>
  <w:style w:type="paragraph" w:styleId="182">
    <w:name w:val="toc 3"/>
    <w:basedOn w:val="624"/>
    <w:next w:val="624"/>
    <w:uiPriority w:val="39"/>
    <w:unhideWhenUsed/>
    <w:pPr>
      <w:ind w:left="567" w:right="0" w:firstLine="0"/>
      <w:spacing w:after="57"/>
    </w:pPr>
  </w:style>
  <w:style w:type="paragraph" w:styleId="183">
    <w:name w:val="toc 4"/>
    <w:basedOn w:val="624"/>
    <w:next w:val="624"/>
    <w:uiPriority w:val="39"/>
    <w:unhideWhenUsed/>
    <w:pPr>
      <w:ind w:left="850" w:right="0" w:firstLine="0"/>
      <w:spacing w:after="57"/>
    </w:pPr>
  </w:style>
  <w:style w:type="paragraph" w:styleId="184">
    <w:name w:val="toc 5"/>
    <w:basedOn w:val="624"/>
    <w:next w:val="624"/>
    <w:uiPriority w:val="39"/>
    <w:unhideWhenUsed/>
    <w:pPr>
      <w:ind w:left="1134" w:right="0" w:firstLine="0"/>
      <w:spacing w:after="57"/>
    </w:pPr>
  </w:style>
  <w:style w:type="paragraph" w:styleId="185">
    <w:name w:val="toc 6"/>
    <w:basedOn w:val="624"/>
    <w:next w:val="624"/>
    <w:uiPriority w:val="39"/>
    <w:unhideWhenUsed/>
    <w:pPr>
      <w:ind w:left="1417" w:right="0" w:firstLine="0"/>
      <w:spacing w:after="57"/>
    </w:pPr>
  </w:style>
  <w:style w:type="paragraph" w:styleId="186">
    <w:name w:val="toc 7"/>
    <w:basedOn w:val="624"/>
    <w:next w:val="624"/>
    <w:uiPriority w:val="39"/>
    <w:unhideWhenUsed/>
    <w:pPr>
      <w:ind w:left="1701" w:right="0" w:firstLine="0"/>
      <w:spacing w:after="57"/>
    </w:pPr>
  </w:style>
  <w:style w:type="paragraph" w:styleId="187">
    <w:name w:val="toc 8"/>
    <w:basedOn w:val="624"/>
    <w:next w:val="624"/>
    <w:uiPriority w:val="39"/>
    <w:unhideWhenUsed/>
    <w:pPr>
      <w:ind w:left="1984" w:right="0" w:firstLine="0"/>
      <w:spacing w:after="57"/>
    </w:pPr>
  </w:style>
  <w:style w:type="paragraph" w:styleId="188">
    <w:name w:val="toc 9"/>
    <w:basedOn w:val="624"/>
    <w:next w:val="62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4"/>
    <w:next w:val="624"/>
    <w:uiPriority w:val="99"/>
    <w:unhideWhenUsed/>
    <w:pPr>
      <w:spacing w:after="0" w:afterAutospacing="0"/>
    </w:pPr>
  </w:style>
  <w:style w:type="paragraph" w:styleId="62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25">
    <w:name w:val="Heading 3"/>
    <w:basedOn w:val="624"/>
    <w:next w:val="624"/>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626" w:default="1">
    <w:name w:val="Default Paragraph Font"/>
    <w:uiPriority w:val="0"/>
    <w:semiHidden/>
    <w:qFormat/>
  </w:style>
  <w:style w:type="table" w:styleId="627" w:default="1">
    <w:name w:val="Normal Table"/>
    <w:uiPriority w:val="0"/>
    <w:semiHidden/>
    <w:qFormat/>
    <w:tblPr>
      <w:tblCellMar>
        <w:left w:w="108" w:type="dxa"/>
        <w:top w:w="0" w:type="dxa"/>
        <w:right w:w="108" w:type="dxa"/>
        <w:bottom w:w="0" w:type="dxa"/>
      </w:tblCellMar>
    </w:tblPr>
  </w:style>
  <w:style w:type="paragraph" w:styleId="628">
    <w:name w:val="Normal Indent"/>
    <w:basedOn w:val="624"/>
    <w:uiPriority w:val="0"/>
    <w:qFormat/>
    <w:pPr>
      <w:ind w:firstLine="420"/>
    </w:pPr>
  </w:style>
  <w:style w:type="paragraph" w:styleId="629">
    <w:name w:val="annotation text"/>
    <w:basedOn w:val="624"/>
    <w:uiPriority w:val="0"/>
    <w:qFormat/>
    <w:pPr>
      <w:jc w:val="left"/>
    </w:pPr>
  </w:style>
  <w:style w:type="paragraph" w:styleId="630">
    <w:name w:val="Body Text"/>
    <w:basedOn w:val="624"/>
    <w:uiPriority w:val="99"/>
    <w:qFormat/>
    <w:rPr>
      <w:rFonts w:ascii="华文中宋" w:eastAsia="华文中宋"/>
      <w:bCs/>
      <w:sz w:val="28"/>
    </w:rPr>
  </w:style>
  <w:style w:type="paragraph" w:styleId="631">
    <w:name w:val="Body Text Indent"/>
    <w:basedOn w:val="624"/>
    <w:next w:val="632"/>
    <w:uiPriority w:val="99"/>
    <w:qFormat/>
    <w:pPr>
      <w:ind w:firstLine="540"/>
      <w:spacing w:line="360" w:lineRule="auto"/>
      <w:widowControl/>
    </w:pPr>
    <w:rPr>
      <w:rFonts w:ascii="宋体" w:hAnsi="MS Sans Serif"/>
      <w:spacing w:val="12"/>
      <w:sz w:val="24"/>
    </w:rPr>
  </w:style>
  <w:style w:type="paragraph" w:styleId="632">
    <w:name w:val="envelope return"/>
    <w:basedOn w:val="624"/>
    <w:uiPriority w:val="0"/>
    <w:qFormat/>
    <w:rPr>
      <w:rFonts w:ascii="Arial" w:hAnsi="Arial"/>
    </w:rPr>
  </w:style>
  <w:style w:type="paragraph" w:styleId="633">
    <w:name w:val="Block Text"/>
    <w:basedOn w:val="624"/>
    <w:uiPriority w:val="0"/>
    <w:qFormat/>
    <w:pPr>
      <w:ind w:left="420" w:right="33"/>
      <w:jc w:val="left"/>
    </w:pPr>
    <w:rPr>
      <w:sz w:val="24"/>
      <w:szCs w:val="20"/>
    </w:rPr>
  </w:style>
  <w:style w:type="paragraph" w:styleId="634">
    <w:name w:val="index 4"/>
    <w:basedOn w:val="624"/>
    <w:next w:val="624"/>
    <w:uiPriority w:val="99"/>
    <w:qFormat/>
    <w:pPr>
      <w:ind w:left="600"/>
    </w:pPr>
    <w:rPr>
      <w:szCs w:val="24"/>
    </w:rPr>
  </w:style>
  <w:style w:type="paragraph" w:styleId="635">
    <w:name w:val="Date"/>
    <w:basedOn w:val="624"/>
    <w:next w:val="624"/>
    <w:uiPriority w:val="99"/>
    <w:qFormat/>
    <w:rPr>
      <w:sz w:val="24"/>
    </w:rPr>
  </w:style>
  <w:style w:type="paragraph" w:styleId="636">
    <w:name w:val="Footer"/>
    <w:basedOn w:val="624"/>
    <w:uiPriority w:val="99"/>
    <w:qFormat/>
    <w:pPr>
      <w:jc w:val="left"/>
      <w:tabs>
        <w:tab w:val="center" w:pos="4153" w:leader="none"/>
        <w:tab w:val="right" w:pos="8306" w:leader="none"/>
      </w:tabs>
    </w:pPr>
    <w:rPr>
      <w:sz w:val="18"/>
      <w:szCs w:val="18"/>
    </w:rPr>
  </w:style>
  <w:style w:type="paragraph" w:styleId="637">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638">
    <w:name w:val="toc 1"/>
    <w:basedOn w:val="624"/>
    <w:next w:val="624"/>
    <w:uiPriority w:val="39"/>
    <w:qFormat/>
    <w:pPr>
      <w:jc w:val="center"/>
      <w:spacing w:before="120" w:after="120"/>
      <w:tabs>
        <w:tab w:val="right" w:pos="9170" w:leader="dot"/>
      </w:tabs>
    </w:pPr>
    <w:rPr>
      <w:rFonts w:eastAsia="文鼎小标宋简"/>
      <w:caps/>
      <w:sz w:val="32"/>
      <w:szCs w:val="32"/>
    </w:rPr>
  </w:style>
  <w:style w:type="paragraph" w:styleId="639">
    <w:name w:val="List"/>
    <w:basedOn w:val="624"/>
    <w:uiPriority w:val="0"/>
    <w:qFormat/>
    <w:pPr>
      <w:ind w:left="450" w:hanging="450"/>
      <w:spacing w:after="20" w:line="288" w:lineRule="auto"/>
      <w:tabs>
        <w:tab w:val="left" w:pos="420" w:leader="none"/>
        <w:tab w:val="left" w:pos="450" w:leader="none"/>
        <w:tab w:val="left" w:pos="898" w:leader="none"/>
      </w:tabs>
    </w:pPr>
  </w:style>
  <w:style w:type="paragraph" w:styleId="640">
    <w:name w:val="toc 2"/>
    <w:basedOn w:val="624"/>
    <w:next w:val="624"/>
    <w:uiPriority w:val="39"/>
    <w:qFormat/>
    <w:pPr>
      <w:ind w:left="210" w:firstLine="150"/>
      <w:jc w:val="left"/>
      <w:tabs>
        <w:tab w:val="right" w:pos="9170" w:leader="dot"/>
      </w:tabs>
    </w:pPr>
    <w:rPr>
      <w:smallCaps/>
      <w:sz w:val="20"/>
    </w:rPr>
  </w:style>
  <w:style w:type="paragraph" w:styleId="641">
    <w:name w:val="Normal (Web)"/>
    <w:basedOn w:val="624"/>
    <w:uiPriority w:val="99"/>
    <w:qFormat/>
    <w:pPr>
      <w:jc w:val="left"/>
      <w:spacing w:before="100" w:beforeAutospacing="1" w:after="100" w:afterAutospacing="1"/>
      <w:widowControl/>
    </w:pPr>
    <w:rPr>
      <w:rFonts w:ascii="宋体" w:hAnsi="宋体" w:cs="宋体"/>
      <w:sz w:val="24"/>
      <w:szCs w:val="24"/>
    </w:rPr>
  </w:style>
  <w:style w:type="paragraph" w:styleId="642">
    <w:name w:val="Body Text First Indent"/>
    <w:basedOn w:val="630"/>
    <w:link w:val="646"/>
    <w:uiPriority w:val="0"/>
    <w:qFormat/>
    <w:pPr>
      <w:ind w:firstLine="420"/>
      <w:spacing w:after="120"/>
    </w:pPr>
    <w:rPr>
      <w:rFonts w:ascii="Times New Roman" w:eastAsia="宋体"/>
      <w:bCs w:val="0"/>
      <w:sz w:val="21"/>
    </w:rPr>
  </w:style>
  <w:style w:type="table" w:styleId="643">
    <w:name w:val="Table Grid"/>
    <w:basedOn w:val="6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4">
    <w:name w:val="page number"/>
    <w:basedOn w:val="626"/>
    <w:uiPriority w:val="0"/>
    <w:qFormat/>
  </w:style>
  <w:style w:type="character" w:styleId="645">
    <w:name w:val="Hyperlink"/>
    <w:basedOn w:val="626"/>
    <w:uiPriority w:val="0"/>
    <w:qFormat/>
    <w:rPr>
      <w:color w:val="0000ff"/>
      <w:u w:val="single"/>
    </w:rPr>
  </w:style>
  <w:style w:type="character" w:styleId="646" w:customStyle="1">
    <w:name w:val="正文首行缩进 Char"/>
    <w:link w:val="642"/>
    <w:uiPriority w:val="0"/>
    <w:qFormat/>
    <w:rPr>
      <w:rFonts w:ascii="Times New Roman" w:eastAsia="宋体"/>
      <w:sz w:val="21"/>
    </w:rPr>
  </w:style>
  <w:style w:type="paragraph" w:styleId="647" w:customStyle="1">
    <w:name w:val="List Paragraph"/>
    <w:basedOn w:val="624"/>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48" w:customStyle="1">
    <w:name w:val="Body Text Indent 21"/>
    <w:basedOn w:val="624"/>
    <w:uiPriority w:val="0"/>
    <w:qFormat/>
    <w:pPr>
      <w:ind w:left="200"/>
      <w:spacing w:before="100" w:beforeAutospacing="1" w:after="100" w:afterAutospacing="1" w:line="480" w:lineRule="auto"/>
    </w:pPr>
    <w:rPr>
      <w:rFonts w:ascii="Calibri" w:hAnsi="Calibri"/>
    </w:rPr>
  </w:style>
  <w:style w:type="paragraph" w:styleId="649" w:customStyle="1">
    <w:name w:val="_Style 6"/>
    <w:basedOn w:val="624"/>
    <w:uiPriority w:val="34"/>
    <w:qFormat/>
    <w:pPr>
      <w:ind w:firstLine="420"/>
    </w:pPr>
    <w:rPr>
      <w:szCs w:val="24"/>
    </w:rPr>
  </w:style>
  <w:style w:type="paragraph" w:styleId="650" w:customStyle="1">
    <w:name w:val="List Paragraph1"/>
    <w:basedOn w:val="624"/>
    <w:uiPriority w:val="0"/>
    <w:qFormat/>
    <w:pPr>
      <w:ind w:firstLine="420"/>
    </w:pPr>
    <w:rPr>
      <w:szCs w:val="21"/>
    </w:rPr>
  </w:style>
  <w:style w:type="paragraph" w:styleId="651"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paragraph" w:styleId="652" w:customStyle="1">
    <w:name w:val="TOC Heading1"/>
    <w:next w:val="624"/>
    <w:uiPriority w:val="0"/>
    <w:qFormat/>
    <w:rPr>
      <w:rFonts w:hint="default" w:ascii="Times New Roman" w:hAnsi="Times New Roman" w:eastAsia="宋体" w:cs="Times New Roman"/>
      <w:sz w:val="32"/>
      <w:lang w:val="en-US" w:eastAsia="zh-CN" w:bidi="ar-SA"/>
    </w:rPr>
  </w:style>
  <w:style w:type="numbering" w:styleId="86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1</cp:revision>
  <dcterms:created xsi:type="dcterms:W3CDTF">2023-04-20T03:22:00Z</dcterms:created>
  <dcterms:modified xsi:type="dcterms:W3CDTF">2025-11-25T08:23:26Z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789ABCA879F3415F8E96A9B19E757C34_12</vt:lpwstr>
  </property>
  <property fmtid="{D5CDD505-2E9C-101B-9397-08002B2CF9AE}" pid="4" name="KSOTemplateDocerSaveRecord">
    <vt:lpwstr>eyJoZGlkIjoiMDgzM2JjOTYzZjVkZjI3NDFmYmZmZDgxMjU4NThiNzEiLCJ1c2VySWQiOiIzMDYyODI0MDcifQ==</vt:lpwstr>
  </property>
</Properties>
</file>